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68631">
      <w:pPr>
        <w:pStyle w:val="4"/>
        <w:shd w:val="clear" w:color="auto" w:fill="FFFFFF"/>
        <w:spacing w:line="504" w:lineRule="atLeast"/>
        <w:jc w:val="center"/>
        <w:rPr>
          <w:rFonts w:ascii="方正小标宋_GBK" w:hAnsi="方正仿宋简体" w:eastAsia="方正小标宋_GBK" w:cs="方正仿宋简体"/>
          <w:color w:val="111111"/>
          <w:sz w:val="32"/>
          <w:szCs w:val="32"/>
        </w:rPr>
      </w:pPr>
      <w:r>
        <w:rPr>
          <w:rStyle w:val="8"/>
          <w:rFonts w:hint="eastAsia" w:ascii="方正小标宋_GBK" w:hAnsi="方正仿宋简体" w:eastAsia="方正小标宋_GBK" w:cs="方正仿宋简体"/>
          <w:color w:val="111111"/>
          <w:sz w:val="32"/>
          <w:szCs w:val="32"/>
          <w:shd w:val="clear" w:color="auto" w:fill="FFFFFF"/>
        </w:rPr>
        <w:t>《南京市博物馆信用等级评定管理暂行办法》解读之10问</w:t>
      </w:r>
    </w:p>
    <w:p w14:paraId="7104609C">
      <w:pPr>
        <w:pStyle w:val="4"/>
        <w:shd w:val="clear" w:color="auto" w:fill="FFFFFF"/>
        <w:spacing w:before="120" w:after="120" w:line="600" w:lineRule="exact"/>
        <w:ind w:firstLine="480"/>
        <w:rPr>
          <w:rFonts w:ascii="方正仿宋_GBK" w:eastAsia="方正仿宋_GBK" w:hAnsiTheme="majorEastAsia"/>
          <w:color w:val="000000"/>
          <w:sz w:val="32"/>
          <w:szCs w:val="32"/>
        </w:rPr>
      </w:pPr>
      <w:r>
        <w:rPr>
          <w:rStyle w:val="8"/>
          <w:rFonts w:hint="eastAsia" w:ascii="方正仿宋_GBK" w:eastAsia="方正仿宋_GBK" w:hAnsiTheme="majorEastAsia"/>
          <w:color w:val="111111"/>
          <w:sz w:val="32"/>
          <w:szCs w:val="32"/>
          <w:shd w:val="clear" w:color="auto" w:fill="FFFFFF"/>
        </w:rPr>
        <w:t>1、为什么要制定《南京市博物馆信用等级评定管理暂行办法》下称“《办法》”）？</w:t>
      </w:r>
    </w:p>
    <w:p w14:paraId="56C87D07">
      <w:pPr>
        <w:spacing w:line="600" w:lineRule="exact"/>
        <w:ind w:firstLine="640" w:firstLineChars="200"/>
        <w:rPr>
          <w:rFonts w:ascii="方正仿宋_GBK" w:eastAsia="方正仿宋_GBK" w:hAnsiTheme="majorEastAsia"/>
          <w:color w:val="000000"/>
          <w:sz w:val="32"/>
          <w:szCs w:val="32"/>
        </w:rPr>
      </w:pPr>
      <w:r>
        <w:rPr>
          <w:rFonts w:hint="eastAsia" w:ascii="方正仿宋_GBK" w:eastAsia="方正仿宋_GBK" w:hAnsiTheme="majorEastAsia"/>
          <w:sz w:val="32"/>
          <w:szCs w:val="32"/>
        </w:rPr>
        <w:t>为了促进博物馆事业发展，发挥博物馆功能，满足人民群众精神文化需求，到2035年基本建成全国有影响力的“博物馆之城”。为推动南京市博物馆行业信用体系建设，规范博物馆运行和服务行为，促进博物馆行业诚信自律，提升服务品质</w:t>
      </w:r>
      <w:r>
        <w:rPr>
          <w:rFonts w:hint="eastAsia" w:ascii="方正仿宋_GBK" w:eastAsia="方正仿宋_GBK" w:hAnsiTheme="majorEastAsia"/>
          <w:color w:val="000000"/>
          <w:sz w:val="32"/>
          <w:szCs w:val="32"/>
        </w:rPr>
        <w:t>。</w:t>
      </w:r>
    </w:p>
    <w:p w14:paraId="30D65C14">
      <w:pPr>
        <w:spacing w:line="600" w:lineRule="exact"/>
        <w:ind w:firstLine="643" w:firstLineChars="200"/>
        <w:rPr>
          <w:rStyle w:val="8"/>
          <w:rFonts w:ascii="方正仿宋_GBK" w:eastAsia="方正仿宋_GBK" w:hAnsiTheme="majorEastAsia"/>
          <w:b w:val="0"/>
          <w:sz w:val="32"/>
          <w:szCs w:val="32"/>
          <w:shd w:val="clear" w:color="auto" w:fill="FFFFFF"/>
        </w:rPr>
      </w:pPr>
      <w:r>
        <w:rPr>
          <w:rStyle w:val="8"/>
          <w:rFonts w:hint="eastAsia" w:ascii="方正仿宋_GBK" w:eastAsia="方正仿宋_GBK" w:hAnsiTheme="majorEastAsia"/>
          <w:sz w:val="32"/>
          <w:szCs w:val="32"/>
          <w:shd w:val="clear" w:color="auto" w:fill="FFFFFF"/>
        </w:rPr>
        <w:t>2、南京市</w:t>
      </w:r>
      <w:r>
        <w:rPr>
          <w:rFonts w:hint="eastAsia" w:ascii="方正仿宋_GBK" w:eastAsia="方正仿宋_GBK" w:hAnsiTheme="majorEastAsia"/>
          <w:b/>
          <w:sz w:val="32"/>
          <w:szCs w:val="32"/>
        </w:rPr>
        <w:t>博物馆信用信息管理</w:t>
      </w:r>
      <w:r>
        <w:rPr>
          <w:rStyle w:val="8"/>
          <w:rFonts w:hint="eastAsia" w:ascii="方正仿宋_GBK" w:eastAsia="方正仿宋_GBK" w:hAnsiTheme="majorEastAsia"/>
          <w:sz w:val="32"/>
          <w:szCs w:val="32"/>
          <w:shd w:val="clear" w:color="auto" w:fill="FFFFFF"/>
        </w:rPr>
        <w:t>对象为哪些？</w:t>
      </w:r>
    </w:p>
    <w:p w14:paraId="23417B75">
      <w:pPr>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本办法适用于南京市辖区内备案登记的各类博物馆。</w:t>
      </w:r>
    </w:p>
    <w:p w14:paraId="53BCE30C">
      <w:pPr>
        <w:spacing w:line="600" w:lineRule="exact"/>
        <w:ind w:firstLine="643" w:firstLineChars="200"/>
        <w:rPr>
          <w:rStyle w:val="8"/>
          <w:rFonts w:ascii="方正仿宋_GBK" w:eastAsia="方正仿宋_GBK" w:hAnsiTheme="majorEastAsia"/>
          <w:sz w:val="32"/>
          <w:szCs w:val="32"/>
          <w:shd w:val="clear" w:color="auto" w:fill="FFFFFF"/>
        </w:rPr>
      </w:pPr>
      <w:r>
        <w:rPr>
          <w:rStyle w:val="8"/>
          <w:rFonts w:hint="eastAsia" w:ascii="方正仿宋_GBK" w:eastAsia="方正仿宋_GBK" w:hAnsiTheme="majorEastAsia"/>
          <w:sz w:val="32"/>
          <w:szCs w:val="32"/>
          <w:shd w:val="clear" w:color="auto" w:fill="FFFFFF"/>
        </w:rPr>
        <w:t>3、制定本《办法》的主要依据有哪些？</w:t>
      </w:r>
    </w:p>
    <w:p w14:paraId="24F3D30A">
      <w:pPr>
        <w:spacing w:line="600" w:lineRule="exact"/>
        <w:ind w:firstLine="640" w:firstLineChars="200"/>
        <w:rPr>
          <w:rStyle w:val="8"/>
          <w:rFonts w:ascii="方正仿宋_GBK" w:eastAsia="方正仿宋_GBK" w:hAnsiTheme="majorEastAsia"/>
          <w:b w:val="0"/>
          <w:sz w:val="32"/>
          <w:szCs w:val="32"/>
          <w:shd w:val="clear" w:color="auto" w:fill="FFFFFF"/>
        </w:rPr>
      </w:pPr>
      <w:r>
        <w:rPr>
          <w:rStyle w:val="8"/>
          <w:rFonts w:hint="eastAsia" w:ascii="方正仿宋_GBK" w:eastAsia="方正仿宋_GBK" w:hAnsiTheme="majorEastAsia"/>
          <w:b w:val="0"/>
          <w:sz w:val="32"/>
          <w:szCs w:val="32"/>
          <w:shd w:val="clear" w:color="auto" w:fill="FFFFFF"/>
        </w:rPr>
        <w:t>《办法》制定的政策依据主要有《中华人民共和国文物</w:t>
      </w:r>
      <w:r>
        <w:rPr>
          <w:rStyle w:val="8"/>
          <w:rFonts w:hint="eastAsia" w:ascii="方正仿宋_GBK" w:eastAsia="方正仿宋_GBK" w:hAnsiTheme="majorEastAsia"/>
          <w:b w:val="0"/>
          <w:sz w:val="32"/>
          <w:szCs w:val="32"/>
          <w:shd w:val="clear" w:color="auto" w:fill="FFFFFF"/>
          <w:lang w:eastAsia="zh-CN"/>
        </w:rPr>
        <w:t>保护</w:t>
      </w:r>
      <w:bookmarkStart w:id="0" w:name="_GoBack"/>
      <w:bookmarkEnd w:id="0"/>
      <w:r>
        <w:rPr>
          <w:rStyle w:val="8"/>
          <w:rFonts w:hint="eastAsia" w:ascii="方正仿宋_GBK" w:eastAsia="方正仿宋_GBK" w:hAnsiTheme="majorEastAsia"/>
          <w:b w:val="0"/>
          <w:sz w:val="32"/>
          <w:szCs w:val="32"/>
          <w:shd w:val="clear" w:color="auto" w:fill="FFFFFF"/>
        </w:rPr>
        <w:t>法》《博物馆条例》《博物馆管理办法》《关于推进博物馆改革发展的指导意见》《江苏省社会信用条例》《南京市社会信用条例》等有关规定，结合本市信用管理工作实际，制定本办法。</w:t>
      </w:r>
    </w:p>
    <w:p w14:paraId="77B20D4B">
      <w:pPr>
        <w:spacing w:line="600" w:lineRule="exact"/>
        <w:ind w:firstLine="643" w:firstLineChars="200"/>
        <w:rPr>
          <w:rFonts w:ascii="方正仿宋_GBK" w:eastAsia="方正仿宋_GBK" w:hAnsiTheme="majorEastAsia"/>
          <w:b/>
          <w:color w:val="000000"/>
          <w:sz w:val="32"/>
          <w:szCs w:val="32"/>
        </w:rPr>
      </w:pPr>
      <w:r>
        <w:rPr>
          <w:rFonts w:hint="eastAsia" w:ascii="方正仿宋_GBK" w:eastAsia="方正仿宋_GBK" w:hAnsiTheme="majorEastAsia"/>
          <w:b/>
          <w:color w:val="000000"/>
          <w:sz w:val="32"/>
          <w:szCs w:val="32"/>
        </w:rPr>
        <w:t>4</w:t>
      </w:r>
      <w:r>
        <w:rPr>
          <w:rFonts w:hint="eastAsia" w:ascii="方正仿宋_GBK" w:eastAsia="方正仿宋_GBK" w:hAnsiTheme="majorEastAsia"/>
          <w:color w:val="000000"/>
          <w:sz w:val="32"/>
          <w:szCs w:val="32"/>
        </w:rPr>
        <w:t>、</w:t>
      </w:r>
      <w:r>
        <w:rPr>
          <w:rFonts w:hint="eastAsia" w:ascii="方正仿宋_GBK" w:eastAsia="方正仿宋_GBK" w:hAnsiTheme="majorEastAsia"/>
          <w:b/>
          <w:color w:val="000000"/>
          <w:sz w:val="32"/>
          <w:szCs w:val="32"/>
        </w:rPr>
        <w:t>南京市博物馆信用信息是什么？谁来认定？</w:t>
      </w:r>
    </w:p>
    <w:p w14:paraId="4922C217">
      <w:pPr>
        <w:spacing w:line="600" w:lineRule="exact"/>
        <w:ind w:firstLine="640" w:firstLineChars="200"/>
        <w:rPr>
          <w:rFonts w:ascii="方正仿宋_GBK" w:eastAsia="方正仿宋_GBK" w:cs="仿宋_GB2312" w:hAnsiTheme="majorEastAsia"/>
          <w:kern w:val="0"/>
          <w:sz w:val="32"/>
          <w:szCs w:val="32"/>
        </w:rPr>
      </w:pPr>
      <w:r>
        <w:rPr>
          <w:rFonts w:hint="eastAsia" w:ascii="方正仿宋_GBK" w:eastAsia="方正仿宋_GBK" w:cs="Times New Roman" w:hAnsiTheme="majorEastAsia"/>
          <w:kern w:val="0"/>
          <w:sz w:val="32"/>
          <w:szCs w:val="32"/>
        </w:rPr>
        <w:t>南京市博物馆信用信息是指从文化和旅游行政主管部门及其他部门在依法履行职责过程中产生的或获取的，以及博物馆在运营服务活动中形成或获得的可作为其信用等级评定的客观数据资料与相关信息，</w:t>
      </w:r>
      <w:r>
        <w:rPr>
          <w:rFonts w:hint="eastAsia" w:ascii="方正仿宋_GBK" w:eastAsia="方正仿宋_GBK" w:cs="仿宋_GB2312" w:hAnsiTheme="majorEastAsia"/>
          <w:kern w:val="0"/>
          <w:sz w:val="32"/>
          <w:szCs w:val="32"/>
        </w:rPr>
        <w:t>包括基础信息、良好信息、失信信息和其他信息四种类型。</w:t>
      </w:r>
    </w:p>
    <w:p w14:paraId="4C46FE1B">
      <w:pPr>
        <w:spacing w:line="600" w:lineRule="exact"/>
        <w:ind w:firstLine="640" w:firstLineChars="200"/>
        <w:rPr>
          <w:rFonts w:ascii="方正仿宋_GBK" w:eastAsia="方正仿宋_GBK" w:cs="Times New Roman" w:hAnsiTheme="majorEastAsia"/>
          <w:kern w:val="0"/>
          <w:sz w:val="32"/>
          <w:szCs w:val="32"/>
        </w:rPr>
      </w:pPr>
      <w:r>
        <w:rPr>
          <w:rFonts w:hint="eastAsia" w:ascii="方正仿宋_GBK" w:eastAsia="方正仿宋_GBK" w:cs="Times New Roman" w:hAnsiTheme="majorEastAsia"/>
          <w:kern w:val="0"/>
          <w:sz w:val="32"/>
          <w:szCs w:val="32"/>
        </w:rPr>
        <w:t>南京市博物馆信用信息认定主体为南京市文化和旅游局。</w:t>
      </w:r>
    </w:p>
    <w:p w14:paraId="1D16953C">
      <w:pPr>
        <w:spacing w:line="600" w:lineRule="exact"/>
        <w:ind w:firstLine="643" w:firstLineChars="200"/>
        <w:rPr>
          <w:rFonts w:ascii="方正仿宋_GBK" w:eastAsia="方正仿宋_GBK" w:cs="仿宋_GB2312" w:hAnsiTheme="majorEastAsia"/>
          <w:b/>
          <w:sz w:val="32"/>
          <w:szCs w:val="32"/>
        </w:rPr>
      </w:pPr>
      <w:r>
        <w:rPr>
          <w:rFonts w:hint="eastAsia" w:ascii="方正仿宋_GBK" w:eastAsia="方正仿宋_GBK" w:cs="宋体" w:hAnsiTheme="majorEastAsia"/>
          <w:b/>
          <w:kern w:val="0"/>
          <w:sz w:val="32"/>
          <w:szCs w:val="32"/>
        </w:rPr>
        <w:t>5、南京市</w:t>
      </w:r>
      <w:r>
        <w:rPr>
          <w:rFonts w:hint="eastAsia" w:ascii="方正仿宋_GBK" w:eastAsia="方正仿宋_GBK" w:cs="仿宋_GB2312" w:hAnsiTheme="majorEastAsia"/>
          <w:b/>
          <w:sz w:val="32"/>
          <w:szCs w:val="32"/>
        </w:rPr>
        <w:t>博物馆信用等级评定依据是什么？</w:t>
      </w:r>
    </w:p>
    <w:p w14:paraId="49D1EF4B">
      <w:pPr>
        <w:spacing w:line="600" w:lineRule="exact"/>
        <w:ind w:firstLine="640" w:firstLineChars="200"/>
        <w:rPr>
          <w:rFonts w:ascii="方正仿宋_GBK" w:eastAsia="方正仿宋_GBK" w:cs="仿宋_GB2312" w:hAnsiTheme="majorEastAsia"/>
          <w:sz w:val="32"/>
          <w:szCs w:val="32"/>
        </w:rPr>
      </w:pPr>
      <w:r>
        <w:rPr>
          <w:rFonts w:hint="eastAsia" w:ascii="方正仿宋_GBK" w:eastAsia="方正仿宋_GBK" w:cs="仿宋_GB2312" w:hAnsiTheme="majorEastAsia"/>
          <w:sz w:val="32"/>
          <w:szCs w:val="32"/>
        </w:rPr>
        <w:t>南京市博物馆信用等级评定依据主要是《南京市博物馆信用等级评定标准》，该标准从四个维度评价博物馆的信用状况，即博物馆的基础信息，良好信息，失信信息以及其他信息。</w:t>
      </w:r>
    </w:p>
    <w:p w14:paraId="505A067B">
      <w:pPr>
        <w:spacing w:line="600" w:lineRule="exact"/>
        <w:ind w:firstLine="643" w:firstLineChars="200"/>
        <w:rPr>
          <w:rFonts w:ascii="方正仿宋_GBK" w:eastAsia="方正仿宋_GBK" w:cs="仿宋_GB2312" w:hAnsiTheme="majorEastAsia"/>
          <w:b/>
          <w:sz w:val="32"/>
          <w:szCs w:val="32"/>
        </w:rPr>
      </w:pPr>
      <w:r>
        <w:rPr>
          <w:rFonts w:hint="eastAsia" w:ascii="方正仿宋_GBK" w:eastAsia="方正仿宋_GBK" w:cs="仿宋_GB2312" w:hAnsiTheme="majorEastAsia"/>
          <w:b/>
          <w:sz w:val="32"/>
          <w:szCs w:val="32"/>
        </w:rPr>
        <w:t>6、谁来评定博物馆信用等级？多长时间评一次？</w:t>
      </w:r>
    </w:p>
    <w:p w14:paraId="13FC2BF0">
      <w:pPr>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成立南京市博物馆信用等级评审委员会，负责对博物馆信用评定的等级进行评审。评审委员会成员由评审委员会成员由政府部门、行业协会、行业专业人士、社会代表等组成。按照《南京市博物馆信用等级评定标准》进行评审、复核。</w:t>
      </w:r>
    </w:p>
    <w:p w14:paraId="2E60FB57">
      <w:pPr>
        <w:spacing w:line="600" w:lineRule="exact"/>
        <w:ind w:firstLine="640" w:firstLineChars="200"/>
        <w:rPr>
          <w:rFonts w:ascii="方正仿宋_GBK" w:eastAsia="方正仿宋_GBK" w:cs="仿宋_GB2312" w:hAnsiTheme="majorEastAsia"/>
          <w:sz w:val="32"/>
          <w:szCs w:val="32"/>
        </w:rPr>
      </w:pPr>
      <w:r>
        <w:rPr>
          <w:rFonts w:hint="eastAsia" w:ascii="方正仿宋_GBK" w:eastAsia="方正仿宋_GBK" w:cs="宋体" w:hAnsiTheme="majorEastAsia"/>
          <w:kern w:val="0"/>
          <w:sz w:val="32"/>
          <w:szCs w:val="32"/>
        </w:rPr>
        <w:t>博物馆信用等级每年评定并公布一次，但是实施动态管理。</w:t>
      </w:r>
      <w:r>
        <w:rPr>
          <w:rFonts w:hint="eastAsia" w:ascii="方正仿宋_GBK" w:eastAsia="方正仿宋_GBK" w:hAnsiTheme="majorEastAsia"/>
          <w:sz w:val="32"/>
          <w:szCs w:val="32"/>
        </w:rPr>
        <w:t>博物馆在下一评定周期内突发出现第十二条所列行为的，其信用等级随即降为C级并予以公布。</w:t>
      </w:r>
    </w:p>
    <w:p w14:paraId="4FB508F7">
      <w:pPr>
        <w:spacing w:line="600" w:lineRule="exact"/>
        <w:ind w:firstLine="643" w:firstLineChars="200"/>
        <w:rPr>
          <w:rFonts w:ascii="方正仿宋_GBK" w:eastAsia="方正仿宋_GBK" w:hAnsiTheme="majorEastAsia"/>
          <w:b/>
          <w:sz w:val="32"/>
          <w:szCs w:val="32"/>
        </w:rPr>
      </w:pPr>
      <w:r>
        <w:rPr>
          <w:rFonts w:hint="eastAsia" w:ascii="方正仿宋_GBK" w:eastAsia="方正仿宋_GBK" w:hAnsiTheme="majorEastAsia"/>
          <w:b/>
          <w:sz w:val="32"/>
          <w:szCs w:val="32"/>
        </w:rPr>
        <w:t>7、哪些博物馆需要接受信用等级评定？信用等级评定意义是什么？</w:t>
      </w:r>
    </w:p>
    <w:p w14:paraId="7B6D8911">
      <w:pPr>
        <w:spacing w:line="600" w:lineRule="exact"/>
        <w:rPr>
          <w:rFonts w:ascii="方正仿宋_GBK" w:eastAsia="方正仿宋_GBK" w:hAnsiTheme="majorEastAsia"/>
          <w:sz w:val="32"/>
          <w:szCs w:val="32"/>
        </w:rPr>
      </w:pPr>
      <w:r>
        <w:rPr>
          <w:rFonts w:hint="eastAsia" w:ascii="方正仿宋_GBK" w:eastAsia="方正仿宋_GBK" w:hAnsiTheme="majorEastAsia"/>
          <w:sz w:val="32"/>
          <w:szCs w:val="32"/>
        </w:rPr>
        <w:t xml:space="preserve">   市文化和旅游主管部门将运营期达两年及以上的博物馆纳入信用等级评定监督管理对象。</w:t>
      </w:r>
    </w:p>
    <w:p w14:paraId="53BB8F51">
      <w:pPr>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实行信用等级评定，并实施动态管理意义就是要兑现守信激励与失信惩戒承若，真正提升博物馆服务质量和水平。</w:t>
      </w:r>
    </w:p>
    <w:p w14:paraId="23AA88FB">
      <w:pPr>
        <w:spacing w:line="600" w:lineRule="exact"/>
        <w:ind w:firstLine="643" w:firstLineChars="200"/>
        <w:rPr>
          <w:rFonts w:ascii="方正仿宋_GBK" w:eastAsia="方正仿宋_GBK" w:hAnsiTheme="majorEastAsia"/>
          <w:b/>
          <w:sz w:val="32"/>
          <w:szCs w:val="32"/>
        </w:rPr>
      </w:pPr>
      <w:r>
        <w:rPr>
          <w:rFonts w:hint="eastAsia" w:ascii="方正仿宋_GBK" w:eastAsia="方正仿宋_GBK" w:hAnsiTheme="majorEastAsia"/>
          <w:b/>
          <w:sz w:val="32"/>
          <w:szCs w:val="32"/>
        </w:rPr>
        <w:t>8、博物馆有十二条所列情形之一的，信用等级为何直接评为“C”级？</w:t>
      </w:r>
    </w:p>
    <w:p w14:paraId="1C40067A">
      <w:pPr>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第十二条所列情形之一出现都是属于严重失信行为，或是被列为信用“黑名单”之中。</w:t>
      </w:r>
    </w:p>
    <w:p w14:paraId="5FC5EDF6">
      <w:pPr>
        <w:spacing w:line="600" w:lineRule="exact"/>
        <w:ind w:firstLine="710" w:firstLineChars="221"/>
        <w:rPr>
          <w:rFonts w:ascii="方正仿宋_GBK" w:eastAsia="方正仿宋_GBK" w:hAnsiTheme="majorEastAsia"/>
          <w:b/>
          <w:sz w:val="32"/>
          <w:szCs w:val="32"/>
        </w:rPr>
      </w:pPr>
      <w:r>
        <w:rPr>
          <w:rFonts w:hint="eastAsia" w:ascii="方正仿宋_GBK" w:eastAsia="方正仿宋_GBK" w:cs="仿宋_GB2312" w:hAnsiTheme="majorEastAsia"/>
          <w:b/>
          <w:sz w:val="32"/>
          <w:szCs w:val="32"/>
        </w:rPr>
        <w:t>9、</w:t>
      </w:r>
      <w:r>
        <w:rPr>
          <w:rFonts w:hint="eastAsia" w:ascii="方正仿宋_GBK" w:eastAsia="方正仿宋_GBK" w:hAnsiTheme="majorEastAsia"/>
          <w:b/>
          <w:sz w:val="32"/>
          <w:szCs w:val="32"/>
        </w:rPr>
        <w:t>博物馆信用等级为B级、C级的</w:t>
      </w:r>
      <w:r>
        <w:rPr>
          <w:rStyle w:val="8"/>
          <w:rFonts w:hint="eastAsia" w:ascii="方正仿宋_GBK" w:eastAsia="方正仿宋_GBK" w:cs="方正仿宋简体" w:hAnsiTheme="majorEastAsia"/>
          <w:b w:val="0"/>
          <w:color w:val="111111"/>
          <w:sz w:val="32"/>
          <w:szCs w:val="32"/>
          <w:shd w:val="clear" w:color="auto" w:fill="FFFFFF"/>
        </w:rPr>
        <w:t>，</w:t>
      </w:r>
      <w:r>
        <w:rPr>
          <w:rFonts w:hint="eastAsia" w:ascii="方正仿宋_GBK" w:eastAsia="方正仿宋_GBK" w:hAnsiTheme="majorEastAsia"/>
          <w:b/>
          <w:bCs/>
          <w:sz w:val="32"/>
          <w:szCs w:val="32"/>
        </w:rPr>
        <w:t>有哪些修复程序？</w:t>
      </w:r>
    </w:p>
    <w:p w14:paraId="63D31373">
      <w:pPr>
        <w:shd w:val="clear" w:color="auto" w:fill="FFFFFF"/>
        <w:spacing w:before="120" w:after="120"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博物馆信用等级为B级、C级的，可以通过纠正失信行为、消除不良影响、公开信用承诺、参加信用修复等方式修复信用，信用修复的程序按照国家、省、市相关规定执行。</w:t>
      </w:r>
    </w:p>
    <w:p w14:paraId="0232F050">
      <w:pPr>
        <w:spacing w:line="600" w:lineRule="exact"/>
        <w:ind w:firstLine="643" w:firstLineChars="200"/>
        <w:rPr>
          <w:rFonts w:ascii="方正仿宋_GBK" w:eastAsia="方正仿宋_GBK" w:hAnsiTheme="majorEastAsia"/>
          <w:b/>
          <w:sz w:val="32"/>
          <w:szCs w:val="32"/>
        </w:rPr>
      </w:pPr>
      <w:r>
        <w:rPr>
          <w:rFonts w:hint="eastAsia" w:ascii="方正仿宋_GBK" w:eastAsia="方正仿宋_GBK" w:cs="黑体" w:hAnsiTheme="majorEastAsia"/>
          <w:b/>
          <w:sz w:val="32"/>
          <w:szCs w:val="32"/>
        </w:rPr>
        <w:t>10、</w:t>
      </w:r>
      <w:r>
        <w:rPr>
          <w:rFonts w:hint="eastAsia" w:ascii="方正仿宋_GBK" w:eastAsia="方正仿宋_GBK" w:cs="黑体" w:hAnsiTheme="majorEastAsia"/>
          <w:b/>
          <w:kern w:val="0"/>
          <w:sz w:val="32"/>
          <w:szCs w:val="32"/>
        </w:rPr>
        <w:t>博物馆</w:t>
      </w:r>
      <w:r>
        <w:rPr>
          <w:rFonts w:hint="eastAsia" w:ascii="方正仿宋_GBK" w:eastAsia="方正仿宋_GBK" w:cs="宋体" w:hAnsiTheme="majorEastAsia"/>
          <w:b/>
          <w:kern w:val="0"/>
          <w:sz w:val="32"/>
          <w:szCs w:val="32"/>
        </w:rPr>
        <w:t>信用等级如何查询？</w:t>
      </w:r>
    </w:p>
    <w:p w14:paraId="10CFC73D">
      <w:pPr>
        <w:spacing w:line="600" w:lineRule="exact"/>
        <w:ind w:firstLine="640" w:firstLineChars="200"/>
        <w:rPr>
          <w:rFonts w:ascii="方正仿宋_GBK" w:eastAsia="方正仿宋_GBK" w:hAnsiTheme="majorEastAsia"/>
          <w:sz w:val="32"/>
          <w:szCs w:val="32"/>
        </w:rPr>
      </w:pPr>
      <w:r>
        <w:rPr>
          <w:rFonts w:hint="eastAsia" w:ascii="方正仿宋_GBK" w:eastAsia="方正仿宋_GBK" w:cs="仿宋" w:hAnsiTheme="majorEastAsia"/>
          <w:sz w:val="32"/>
          <w:szCs w:val="32"/>
        </w:rPr>
        <w:t>审定的博物馆信用等级在“南京市文化和旅游局”、“信用南京”官方网站予以公示。</w:t>
      </w:r>
    </w:p>
    <w:sectPr>
      <w:pgSz w:w="11906" w:h="16838"/>
      <w:pgMar w:top="1361" w:right="1531" w:bottom="113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3NjI2MDFjNTQ4NWIxYmU3OTc5MzljY2QxZDgzZWQifQ=="/>
  </w:docVars>
  <w:rsids>
    <w:rsidRoot w:val="0055674B"/>
    <w:rsid w:val="00013F26"/>
    <w:rsid w:val="00034B3E"/>
    <w:rsid w:val="00053D9E"/>
    <w:rsid w:val="00067392"/>
    <w:rsid w:val="00084141"/>
    <w:rsid w:val="00096A1F"/>
    <w:rsid w:val="000E5EEA"/>
    <w:rsid w:val="000F0449"/>
    <w:rsid w:val="00135295"/>
    <w:rsid w:val="001A10CD"/>
    <w:rsid w:val="0024440D"/>
    <w:rsid w:val="0026659E"/>
    <w:rsid w:val="00284396"/>
    <w:rsid w:val="00346E4B"/>
    <w:rsid w:val="00363671"/>
    <w:rsid w:val="00395301"/>
    <w:rsid w:val="003A4B1A"/>
    <w:rsid w:val="00401D0B"/>
    <w:rsid w:val="005361A7"/>
    <w:rsid w:val="00553690"/>
    <w:rsid w:val="00553F4F"/>
    <w:rsid w:val="0055674B"/>
    <w:rsid w:val="00571AAE"/>
    <w:rsid w:val="00611D3B"/>
    <w:rsid w:val="00646C15"/>
    <w:rsid w:val="006602E2"/>
    <w:rsid w:val="00661915"/>
    <w:rsid w:val="006C133A"/>
    <w:rsid w:val="006E264A"/>
    <w:rsid w:val="006E7627"/>
    <w:rsid w:val="007742FE"/>
    <w:rsid w:val="007D2D66"/>
    <w:rsid w:val="00806049"/>
    <w:rsid w:val="00816397"/>
    <w:rsid w:val="00821053"/>
    <w:rsid w:val="00847205"/>
    <w:rsid w:val="00865CFE"/>
    <w:rsid w:val="00886323"/>
    <w:rsid w:val="008A14DB"/>
    <w:rsid w:val="008C4E84"/>
    <w:rsid w:val="008C71B9"/>
    <w:rsid w:val="009323CB"/>
    <w:rsid w:val="00AF2A0B"/>
    <w:rsid w:val="00B458AB"/>
    <w:rsid w:val="00B9026B"/>
    <w:rsid w:val="00BA162A"/>
    <w:rsid w:val="00BD1E0F"/>
    <w:rsid w:val="00BE444D"/>
    <w:rsid w:val="00BE78E7"/>
    <w:rsid w:val="00BF0C98"/>
    <w:rsid w:val="00C54A67"/>
    <w:rsid w:val="00C6489C"/>
    <w:rsid w:val="00CB0CA9"/>
    <w:rsid w:val="00CC3B8A"/>
    <w:rsid w:val="00D121F2"/>
    <w:rsid w:val="00D2764B"/>
    <w:rsid w:val="00DB7230"/>
    <w:rsid w:val="00E1153E"/>
    <w:rsid w:val="00EC17D1"/>
    <w:rsid w:val="00F04FB9"/>
    <w:rsid w:val="00F15A1D"/>
    <w:rsid w:val="00FA3FC7"/>
    <w:rsid w:val="00FD4078"/>
    <w:rsid w:val="00FF0301"/>
    <w:rsid w:val="025E76A1"/>
    <w:rsid w:val="154B3A3C"/>
    <w:rsid w:val="2A27289C"/>
    <w:rsid w:val="2D876995"/>
    <w:rsid w:val="58C73824"/>
    <w:rsid w:val="66A63D78"/>
    <w:rsid w:val="700F1F41"/>
    <w:rsid w:val="78D943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line="240" w:lineRule="auto"/>
    </w:pPr>
    <w:rPr>
      <w:rFonts w:ascii="宋体" w:hAnsi="宋体" w:eastAsia="宋体" w:cs="宋体"/>
      <w:kern w:val="0"/>
      <w:sz w:val="24"/>
      <w:szCs w:val="24"/>
    </w:rPr>
  </w:style>
  <w:style w:type="table" w:styleId="6">
    <w:name w:val="Table Grid"/>
    <w:basedOn w:val="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semiHidden/>
    <w:qFormat/>
    <w:uiPriority w:val="99"/>
    <w:rPr>
      <w:kern w:val="2"/>
      <w:sz w:val="18"/>
      <w:szCs w:val="18"/>
    </w:rPr>
  </w:style>
  <w:style w:type="character" w:customStyle="1" w:styleId="10">
    <w:name w:val="页脚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1131</Words>
  <Characters>1136</Characters>
  <Lines>8</Lines>
  <Paragraphs>2</Paragraphs>
  <TotalTime>47</TotalTime>
  <ScaleCrop>false</ScaleCrop>
  <LinksUpToDate>false</LinksUpToDate>
  <CharactersWithSpaces>1139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2020-11-30T07:55:00Z</dcterms:created>
  <dc:creator>zl</dc:creator>
  <cp:lastModifiedBy>晴天</cp:lastModifiedBy>
  <cp:lastPrinted>2023-10-30T03:48:00Z</cp:lastPrinted>
  <dcterms:modified xsi:type="dcterms:W3CDTF">2025-01-20T11:11:32Z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2697924C427C41DBB4E2DF760AE4AE56_13</vt:lpwstr>
  </property>
  <property fmtid="{D5CDD505-2E9C-101B-9397-08002B2CF9AE}" pid="4" name="KSOTemplateDocerSaveRecord">
    <vt:lpwstr>eyJoZGlkIjoiZmNhZmUzZDliYTYxZmJiM2U3YWQzYzgwNmViOWQzYTgiLCJ1c2VySWQiOiIzNTAzOTkxNjgifQ==</vt:lpwstr>
  </property>
</Properties>
</file>