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E16F7">
      <w:pPr>
        <w:pStyle w:val="2"/>
        <w:spacing w:before="0"/>
        <w:jc w:val="both"/>
        <w:rPr>
          <w:rFonts w:hint="eastAsia" w:ascii="仿宋" w:hAnsi="仿宋" w:eastAsia="仿宋" w:cs="仿宋"/>
          <w:sz w:val="32"/>
          <w:szCs w:val="32"/>
        </w:rPr>
      </w:pPr>
      <w:bookmarkStart w:id="275" w:name="_GoBack"/>
      <w:bookmarkEnd w:id="275"/>
    </w:p>
    <w:p w14:paraId="268401F8">
      <w:pPr>
        <w:pStyle w:val="2"/>
        <w:spacing w:before="0"/>
        <w:jc w:val="both"/>
        <w:rPr>
          <w:rFonts w:hint="eastAsia" w:ascii="仿宋" w:hAnsi="仿宋" w:eastAsia="仿宋" w:cs="仿宋"/>
          <w:sz w:val="32"/>
          <w:szCs w:val="32"/>
        </w:rPr>
      </w:pPr>
    </w:p>
    <w:p w14:paraId="3D98B3E2">
      <w:pPr>
        <w:pStyle w:val="2"/>
        <w:spacing w:before="0"/>
        <w:jc w:val="both"/>
        <w:rPr>
          <w:rFonts w:hint="eastAsia" w:ascii="仿宋" w:hAnsi="仿宋" w:eastAsia="仿宋" w:cs="仿宋"/>
          <w:sz w:val="32"/>
          <w:szCs w:val="32"/>
        </w:rPr>
      </w:pPr>
    </w:p>
    <w:p w14:paraId="25CDAF9C">
      <w:pPr>
        <w:pStyle w:val="2"/>
        <w:spacing w:before="0"/>
        <w:jc w:val="both"/>
        <w:rPr>
          <w:rFonts w:hint="eastAsia" w:ascii="仿宋" w:hAnsi="仿宋" w:eastAsia="仿宋" w:cs="仿宋"/>
          <w:sz w:val="32"/>
          <w:szCs w:val="32"/>
        </w:rPr>
      </w:pPr>
    </w:p>
    <w:p w14:paraId="4BFF0B2C">
      <w:pPr>
        <w:pStyle w:val="2"/>
        <w:spacing w:before="0"/>
        <w:jc w:val="both"/>
        <w:rPr>
          <w:rFonts w:hint="eastAsia" w:ascii="仿宋" w:hAnsi="仿宋" w:eastAsia="仿宋" w:cs="仿宋"/>
          <w:sz w:val="32"/>
          <w:szCs w:val="32"/>
        </w:rPr>
      </w:pPr>
    </w:p>
    <w:p w14:paraId="26C53EAF">
      <w:pPr>
        <w:pStyle w:val="2"/>
        <w:spacing w:before="0"/>
        <w:jc w:val="both"/>
        <w:rPr>
          <w:rFonts w:hint="eastAsia" w:ascii="仿宋" w:hAnsi="仿宋" w:eastAsia="仿宋" w:cs="仿宋"/>
          <w:sz w:val="32"/>
          <w:szCs w:val="32"/>
        </w:rPr>
      </w:pPr>
    </w:p>
    <w:p w14:paraId="20F683E9">
      <w:pPr>
        <w:pStyle w:val="2"/>
        <w:spacing w:before="0"/>
        <w:jc w:val="both"/>
        <w:rPr>
          <w:rFonts w:hint="eastAsia" w:ascii="仿宋" w:hAnsi="仿宋" w:eastAsia="仿宋" w:cs="仿宋"/>
          <w:sz w:val="32"/>
          <w:szCs w:val="32"/>
        </w:rPr>
      </w:pPr>
    </w:p>
    <w:p w14:paraId="14DFEE08">
      <w:pPr>
        <w:pStyle w:val="2"/>
        <w:spacing w:before="0"/>
        <w:jc w:val="center"/>
        <w:rPr>
          <w:rFonts w:hint="eastAsia" w:ascii="仿宋" w:hAnsi="仿宋" w:eastAsia="仿宋" w:cs="仿宋"/>
          <w:sz w:val="32"/>
          <w:szCs w:val="32"/>
        </w:rPr>
      </w:pPr>
    </w:p>
    <w:p w14:paraId="776DE4DA">
      <w:pPr>
        <w:pStyle w:val="2"/>
        <w:spacing w:before="0"/>
        <w:jc w:val="center"/>
        <w:rPr>
          <w:rFonts w:hint="eastAsia" w:ascii="仿宋" w:hAnsi="仿宋" w:eastAsia="仿宋" w:cs="仿宋"/>
          <w:sz w:val="32"/>
          <w:szCs w:val="32"/>
        </w:rPr>
      </w:pPr>
    </w:p>
    <w:p w14:paraId="401B2909">
      <w:pPr>
        <w:pStyle w:val="2"/>
        <w:spacing w:before="6"/>
        <w:jc w:val="center"/>
        <w:rPr>
          <w:rFonts w:hint="eastAsia" w:ascii="仿宋" w:hAnsi="仿宋" w:eastAsia="仿宋" w:cs="仿宋"/>
          <w:sz w:val="32"/>
          <w:szCs w:val="32"/>
        </w:rPr>
      </w:pPr>
    </w:p>
    <w:p w14:paraId="480E4722">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outlineLvl w:val="9"/>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eastAsia="zh-CN"/>
        </w:rPr>
        <w:t>202</w:t>
      </w:r>
      <w:r>
        <w:rPr>
          <w:rFonts w:hint="eastAsia" w:ascii="仿宋" w:hAnsi="仿宋" w:eastAsia="仿宋" w:cs="仿宋"/>
          <w:b/>
          <w:bCs w:val="0"/>
          <w:sz w:val="32"/>
          <w:szCs w:val="32"/>
          <w:lang w:val="en-US" w:eastAsia="zh-CN"/>
        </w:rPr>
        <w:t>3</w:t>
      </w:r>
      <w:r>
        <w:rPr>
          <w:rFonts w:hint="eastAsia" w:ascii="仿宋" w:hAnsi="仿宋" w:eastAsia="仿宋" w:cs="仿宋"/>
          <w:b/>
          <w:bCs w:val="0"/>
          <w:sz w:val="32"/>
          <w:szCs w:val="32"/>
        </w:rPr>
        <w:t>年度南京市文化和旅游局-南京市广播电视</w:t>
      </w:r>
      <w:r>
        <w:rPr>
          <w:rFonts w:hint="eastAsia" w:ascii="仿宋" w:hAnsi="仿宋" w:eastAsia="仿宋" w:cs="仿宋"/>
          <w:b/>
          <w:bCs w:val="0"/>
          <w:sz w:val="32"/>
          <w:szCs w:val="32"/>
          <w:lang w:val="en-US" w:eastAsia="zh-CN"/>
        </w:rPr>
        <w:t>监测站</w:t>
      </w:r>
    </w:p>
    <w:p w14:paraId="176D3BB6">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outlineLvl w:val="9"/>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部门</w:t>
      </w:r>
      <w:r>
        <w:rPr>
          <w:rFonts w:hint="eastAsia" w:ascii="仿宋" w:hAnsi="仿宋" w:eastAsia="仿宋" w:cs="仿宋"/>
          <w:b/>
          <w:bCs w:val="0"/>
          <w:sz w:val="32"/>
          <w:szCs w:val="32"/>
        </w:rPr>
        <w:t>整</w:t>
      </w:r>
      <w:r>
        <w:rPr>
          <w:rFonts w:hint="eastAsia" w:ascii="仿宋" w:hAnsi="仿宋" w:eastAsia="仿宋" w:cs="仿宋"/>
          <w:b/>
          <w:bCs w:val="0"/>
          <w:sz w:val="32"/>
          <w:szCs w:val="32"/>
          <w:lang w:val="en-US" w:eastAsia="zh-CN"/>
        </w:rPr>
        <w:t>体</w:t>
      </w:r>
      <w:r>
        <w:rPr>
          <w:rFonts w:hint="eastAsia" w:ascii="仿宋" w:hAnsi="仿宋" w:eastAsia="仿宋" w:cs="仿宋"/>
          <w:b/>
          <w:bCs w:val="0"/>
          <w:sz w:val="32"/>
          <w:szCs w:val="32"/>
        </w:rPr>
        <w:t>绩效自评价报告</w:t>
      </w:r>
    </w:p>
    <w:p w14:paraId="25AB64E7">
      <w:pPr>
        <w:rPr>
          <w:rFonts w:hint="eastAsia" w:ascii="仿宋" w:hAnsi="仿宋" w:eastAsia="仿宋" w:cs="仿宋"/>
          <w:sz w:val="32"/>
          <w:szCs w:val="32"/>
        </w:rPr>
      </w:pPr>
      <w:r>
        <w:rPr>
          <w:rFonts w:hint="eastAsia" w:ascii="仿宋" w:hAnsi="仿宋" w:eastAsia="仿宋" w:cs="仿宋"/>
          <w:sz w:val="32"/>
          <w:szCs w:val="32"/>
        </w:rPr>
        <w:br w:type="page"/>
      </w:r>
    </w:p>
    <w:p w14:paraId="26A1D1F5">
      <w:pPr>
        <w:keepNext w:val="0"/>
        <w:keepLines w:val="0"/>
        <w:pageBreakBefore w:val="0"/>
        <w:widowControl w:val="0"/>
        <w:kinsoku/>
        <w:wordWrap/>
        <w:overflowPunct/>
        <w:topLinePunct w:val="0"/>
        <w:autoSpaceDE w:val="0"/>
        <w:autoSpaceDN w:val="0"/>
        <w:bidi w:val="0"/>
        <w:adjustRightInd/>
        <w:snapToGrid/>
        <w:spacing w:before="0" w:beforeLines="0" w:after="0" w:afterLines="0" w:line="312" w:lineRule="auto"/>
        <w:ind w:left="0" w:leftChars="0" w:right="0" w:rightChars="0"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目</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录</w:t>
      </w:r>
    </w:p>
    <w:p w14:paraId="41B068EB">
      <w:pPr>
        <w:pStyle w:val="6"/>
        <w:tabs>
          <w:tab w:val="right" w:leader="dot" w:pos="8310"/>
        </w:tabs>
      </w:pPr>
      <w:r>
        <w:rPr>
          <w:rFonts w:hint="eastAsia" w:ascii="仿宋" w:hAnsi="仿宋" w:eastAsia="仿宋" w:cs="仿宋"/>
          <w:b/>
          <w:sz w:val="32"/>
          <w:szCs w:val="32"/>
          <w:lang w:val="en-US" w:eastAsia="zh-CN" w:bidi="ar-SA"/>
        </w:rPr>
        <w:fldChar w:fldCharType="begin"/>
      </w:r>
      <w:r>
        <w:rPr>
          <w:rFonts w:hint="eastAsia" w:ascii="仿宋" w:hAnsi="仿宋" w:eastAsia="仿宋" w:cs="仿宋"/>
          <w:b/>
          <w:sz w:val="32"/>
          <w:szCs w:val="32"/>
          <w:lang w:val="en-US" w:eastAsia="zh-CN" w:bidi="ar-SA"/>
        </w:rPr>
        <w:instrText xml:space="preserve">TOC \o "1-2" \h \u </w:instrText>
      </w:r>
      <w:r>
        <w:rPr>
          <w:rFonts w:hint="eastAsia" w:ascii="仿宋" w:hAnsi="仿宋" w:eastAsia="仿宋" w:cs="仿宋"/>
          <w:b/>
          <w:sz w:val="32"/>
          <w:szCs w:val="32"/>
          <w:lang w:val="en-US" w:eastAsia="zh-CN" w:bidi="ar-SA"/>
        </w:rPr>
        <w:fldChar w:fldCharType="separate"/>
      </w: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_Toc2146520038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14:textOutline w14:w="5791" w14:cap="flat" w14:cmpd="sng">
            <w14:solidFill>
              <w14:srgbClr w14:val="000000"/>
            </w14:solidFill>
            <w14:prstDash w14:val="solid"/>
            <w14:miter w14:val="0"/>
          </w14:textOutline>
        </w:rPr>
        <w:t>一、单位</w:t>
      </w:r>
      <w:r>
        <w:rPr>
          <w:rFonts w:hint="eastAsia" w:ascii="仿宋" w:hAnsi="仿宋" w:eastAsia="仿宋" w:cs="仿宋"/>
          <w:snapToGrid w:val="0"/>
          <w:spacing w:val="8"/>
          <w:kern w:val="0"/>
          <w:szCs w:val="32"/>
          <w:lang w:val="en-US" w:eastAsia="zh-CN"/>
          <w14:textOutline w14:w="5791" w14:cap="flat" w14:cmpd="sng">
            <w14:solidFill>
              <w14:srgbClr w14:val="000000"/>
            </w14:solidFill>
            <w14:prstDash w14:val="solid"/>
            <w14:miter w14:val="0"/>
          </w14:textOutline>
        </w:rPr>
        <w:t>概况</w:t>
      </w:r>
      <w:r>
        <w:tab/>
      </w:r>
      <w:r>
        <w:fldChar w:fldCharType="begin"/>
      </w:r>
      <w:r>
        <w:instrText xml:space="preserve"> PAGEREF _Toc2146520038 \h </w:instrText>
      </w:r>
      <w:r>
        <w:fldChar w:fldCharType="separate"/>
      </w:r>
      <w:r>
        <w:t>1</w:t>
      </w:r>
      <w:r>
        <w:fldChar w:fldCharType="end"/>
      </w:r>
      <w:r>
        <w:rPr>
          <w:rFonts w:hint="eastAsia" w:ascii="仿宋" w:hAnsi="仿宋" w:eastAsia="仿宋" w:cs="仿宋"/>
          <w:szCs w:val="32"/>
          <w:lang w:val="en-US" w:eastAsia="zh-CN" w:bidi="ar-SA"/>
        </w:rPr>
        <w:fldChar w:fldCharType="end"/>
      </w:r>
    </w:p>
    <w:p w14:paraId="1ECB6210">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_Toc984492713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（一）单位基本情况</w:t>
      </w:r>
      <w:r>
        <w:tab/>
      </w:r>
      <w:r>
        <w:fldChar w:fldCharType="begin"/>
      </w:r>
      <w:r>
        <w:instrText xml:space="preserve"> PAGEREF _Toc984492713 \h </w:instrText>
      </w:r>
      <w:r>
        <w:fldChar w:fldCharType="separate"/>
      </w:r>
      <w:r>
        <w:t>1</w:t>
      </w:r>
      <w:r>
        <w:fldChar w:fldCharType="end"/>
      </w:r>
      <w:r>
        <w:rPr>
          <w:rFonts w:hint="eastAsia" w:ascii="仿宋" w:hAnsi="仿宋" w:eastAsia="仿宋" w:cs="仿宋"/>
          <w:szCs w:val="32"/>
          <w:lang w:val="en-US" w:eastAsia="zh-CN" w:bidi="ar-SA"/>
        </w:rPr>
        <w:fldChar w:fldCharType="end"/>
      </w:r>
    </w:p>
    <w:p w14:paraId="042AAD2E">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_Toc7527256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（二）单位收支情况</w:t>
      </w:r>
      <w:r>
        <w:tab/>
      </w:r>
      <w:r>
        <w:fldChar w:fldCharType="begin"/>
      </w:r>
      <w:r>
        <w:instrText xml:space="preserve"> PAGEREF _Toc7527256 \h </w:instrText>
      </w:r>
      <w:r>
        <w:fldChar w:fldCharType="separate"/>
      </w:r>
      <w:r>
        <w:t>2</w:t>
      </w:r>
      <w:r>
        <w:fldChar w:fldCharType="end"/>
      </w:r>
      <w:r>
        <w:rPr>
          <w:rFonts w:hint="eastAsia" w:ascii="仿宋" w:hAnsi="仿宋" w:eastAsia="仿宋" w:cs="仿宋"/>
          <w:szCs w:val="32"/>
          <w:lang w:val="en-US" w:eastAsia="zh-CN" w:bidi="ar-SA"/>
        </w:rPr>
        <w:fldChar w:fldCharType="end"/>
      </w:r>
    </w:p>
    <w:p w14:paraId="0D9ACD44">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_Toc1956540066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（三）单位绩效目标</w:t>
      </w:r>
      <w:r>
        <w:tab/>
      </w:r>
      <w:r>
        <w:fldChar w:fldCharType="begin"/>
      </w:r>
      <w:r>
        <w:instrText xml:space="preserve"> PAGEREF _Toc1956540066 \h </w:instrText>
      </w:r>
      <w:r>
        <w:fldChar w:fldCharType="separate"/>
      </w:r>
      <w:r>
        <w:t>2</w:t>
      </w:r>
      <w:r>
        <w:fldChar w:fldCharType="end"/>
      </w:r>
      <w:r>
        <w:rPr>
          <w:rFonts w:hint="eastAsia" w:ascii="仿宋" w:hAnsi="仿宋" w:eastAsia="仿宋" w:cs="仿宋"/>
          <w:szCs w:val="32"/>
          <w:lang w:val="en-US" w:eastAsia="zh-CN" w:bidi="ar-SA"/>
        </w:rPr>
        <w:fldChar w:fldCharType="end"/>
      </w:r>
    </w:p>
    <w:p w14:paraId="72BD5B7B">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_Toc1299286398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14:textOutline w14:w="5791" w14:cap="flat" w14:cmpd="sng">
            <w14:solidFill>
              <w14:srgbClr w14:val="000000"/>
            </w14:solidFill>
            <w14:prstDash w14:val="solid"/>
            <w14:miter w14:val="0"/>
          </w14:textOutline>
        </w:rPr>
        <w:t>二、评价结论</w:t>
      </w:r>
      <w:r>
        <w:tab/>
      </w:r>
      <w:r>
        <w:fldChar w:fldCharType="begin"/>
      </w:r>
      <w:r>
        <w:instrText xml:space="preserve"> PAGEREF _Toc1299286398 \h </w:instrText>
      </w:r>
      <w:r>
        <w:fldChar w:fldCharType="separate"/>
      </w:r>
      <w:r>
        <w:t>3</w:t>
      </w:r>
      <w:r>
        <w:fldChar w:fldCharType="end"/>
      </w:r>
      <w:r>
        <w:rPr>
          <w:rFonts w:hint="eastAsia" w:ascii="仿宋" w:hAnsi="仿宋" w:eastAsia="仿宋" w:cs="仿宋"/>
          <w:szCs w:val="32"/>
          <w:lang w:val="en-US" w:eastAsia="zh-CN" w:bidi="ar-SA"/>
        </w:rPr>
        <w:fldChar w:fldCharType="end"/>
      </w:r>
    </w:p>
    <w:p w14:paraId="55F08467">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_Toc1492768490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（一）评价对象及范围</w:t>
      </w:r>
      <w:r>
        <w:tab/>
      </w:r>
      <w:r>
        <w:fldChar w:fldCharType="begin"/>
      </w:r>
      <w:r>
        <w:instrText xml:space="preserve"> PAGEREF _Toc1492768490 \h </w:instrText>
      </w:r>
      <w:r>
        <w:fldChar w:fldCharType="separate"/>
      </w:r>
      <w:r>
        <w:t>3</w:t>
      </w:r>
      <w:r>
        <w:fldChar w:fldCharType="end"/>
      </w:r>
      <w:r>
        <w:rPr>
          <w:rFonts w:hint="eastAsia" w:ascii="仿宋" w:hAnsi="仿宋" w:eastAsia="仿宋" w:cs="仿宋"/>
          <w:szCs w:val="32"/>
          <w:lang w:val="en-US" w:eastAsia="zh-CN" w:bidi="ar-SA"/>
        </w:rPr>
        <w:fldChar w:fldCharType="end"/>
      </w:r>
    </w:p>
    <w:p w14:paraId="27D45F23">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_Toc2056047176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（二）评价结论</w:t>
      </w:r>
      <w:r>
        <w:tab/>
      </w:r>
      <w:r>
        <w:fldChar w:fldCharType="begin"/>
      </w:r>
      <w:r>
        <w:instrText xml:space="preserve"> PAGEREF _Toc2056047176 \h </w:instrText>
      </w:r>
      <w:r>
        <w:fldChar w:fldCharType="separate"/>
      </w:r>
      <w:r>
        <w:t>3</w:t>
      </w:r>
      <w:r>
        <w:fldChar w:fldCharType="end"/>
      </w:r>
      <w:r>
        <w:rPr>
          <w:rFonts w:hint="eastAsia" w:ascii="仿宋" w:hAnsi="仿宋" w:eastAsia="仿宋" w:cs="仿宋"/>
          <w:szCs w:val="32"/>
          <w:lang w:val="en-US" w:eastAsia="zh-CN" w:bidi="ar-SA"/>
        </w:rPr>
        <w:fldChar w:fldCharType="end"/>
      </w:r>
    </w:p>
    <w:p w14:paraId="0B26E00A">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_Toc825523155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（三）评分结果</w:t>
      </w:r>
      <w:r>
        <w:tab/>
      </w:r>
      <w:r>
        <w:fldChar w:fldCharType="begin"/>
      </w:r>
      <w:r>
        <w:instrText xml:space="preserve"> PAGEREF _Toc825523155 \h </w:instrText>
      </w:r>
      <w:r>
        <w:fldChar w:fldCharType="separate"/>
      </w:r>
      <w:r>
        <w:t>4</w:t>
      </w:r>
      <w:r>
        <w:fldChar w:fldCharType="end"/>
      </w:r>
      <w:r>
        <w:rPr>
          <w:rFonts w:hint="eastAsia" w:ascii="仿宋" w:hAnsi="仿宋" w:eastAsia="仿宋" w:cs="仿宋"/>
          <w:szCs w:val="32"/>
          <w:lang w:val="en-US" w:eastAsia="zh-CN" w:bidi="ar-SA"/>
        </w:rPr>
        <w:fldChar w:fldCharType="end"/>
      </w:r>
    </w:p>
    <w:p w14:paraId="21DA8115">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_Toc1823306465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14:textOutline w14:w="5791" w14:cap="flat" w14:cmpd="sng">
            <w14:solidFill>
              <w14:srgbClr w14:val="000000"/>
            </w14:solidFill>
            <w14:prstDash w14:val="solid"/>
            <w14:miter w14:val="0"/>
          </w14:textOutline>
        </w:rPr>
        <w:t>三、部门履职成效</w:t>
      </w:r>
      <w:r>
        <w:tab/>
      </w:r>
      <w:r>
        <w:fldChar w:fldCharType="begin"/>
      </w:r>
      <w:r>
        <w:instrText xml:space="preserve"> PAGEREF _Toc1823306465 \h </w:instrText>
      </w:r>
      <w:r>
        <w:fldChar w:fldCharType="separate"/>
      </w:r>
      <w:r>
        <w:t>4</w:t>
      </w:r>
      <w:r>
        <w:fldChar w:fldCharType="end"/>
      </w:r>
      <w:r>
        <w:rPr>
          <w:rFonts w:hint="eastAsia" w:ascii="仿宋" w:hAnsi="仿宋" w:eastAsia="仿宋" w:cs="仿宋"/>
          <w:szCs w:val="32"/>
          <w:lang w:val="en-US" w:eastAsia="zh-CN" w:bidi="ar-SA"/>
        </w:rPr>
        <w:fldChar w:fldCharType="end"/>
      </w:r>
    </w:p>
    <w:p w14:paraId="1746F759">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_Toc1867598212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（一）监测手段不断创新</w:t>
      </w:r>
      <w:r>
        <w:tab/>
      </w:r>
      <w:r>
        <w:fldChar w:fldCharType="begin"/>
      </w:r>
      <w:r>
        <w:instrText xml:space="preserve"> PAGEREF _Toc1867598212 \h </w:instrText>
      </w:r>
      <w:r>
        <w:fldChar w:fldCharType="separate"/>
      </w:r>
      <w:r>
        <w:t>4</w:t>
      </w:r>
      <w:r>
        <w:fldChar w:fldCharType="end"/>
      </w:r>
      <w:r>
        <w:rPr>
          <w:rFonts w:hint="eastAsia" w:ascii="仿宋" w:hAnsi="仿宋" w:eastAsia="仿宋" w:cs="仿宋"/>
          <w:szCs w:val="32"/>
          <w:lang w:val="en-US" w:eastAsia="zh-CN" w:bidi="ar-SA"/>
        </w:rPr>
        <w:fldChar w:fldCharType="end"/>
      </w:r>
    </w:p>
    <w:p w14:paraId="4CFF83E5">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_Toc1102164532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（二）系统运行安全稳定</w:t>
      </w:r>
      <w:r>
        <w:tab/>
      </w:r>
      <w:r>
        <w:fldChar w:fldCharType="begin"/>
      </w:r>
      <w:r>
        <w:instrText xml:space="preserve"> PAGEREF _Toc1102164532 \h </w:instrText>
      </w:r>
      <w:r>
        <w:fldChar w:fldCharType="separate"/>
      </w:r>
      <w:r>
        <w:t>5</w:t>
      </w:r>
      <w:r>
        <w:fldChar w:fldCharType="end"/>
      </w:r>
      <w:r>
        <w:rPr>
          <w:rFonts w:hint="eastAsia" w:ascii="仿宋" w:hAnsi="仿宋" w:eastAsia="仿宋" w:cs="仿宋"/>
          <w:szCs w:val="32"/>
          <w:lang w:val="en-US" w:eastAsia="zh-CN" w:bidi="ar-SA"/>
        </w:rPr>
        <w:fldChar w:fldCharType="end"/>
      </w:r>
    </w:p>
    <w:p w14:paraId="5749CC08">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_Toc2032833949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（三）安全播出保障到位</w:t>
      </w:r>
      <w:r>
        <w:tab/>
      </w:r>
      <w:r>
        <w:fldChar w:fldCharType="begin"/>
      </w:r>
      <w:r>
        <w:instrText xml:space="preserve"> PAGEREF _Toc2032833949 \h </w:instrText>
      </w:r>
      <w:r>
        <w:fldChar w:fldCharType="separate"/>
      </w:r>
      <w:r>
        <w:t>5</w:t>
      </w:r>
      <w:r>
        <w:fldChar w:fldCharType="end"/>
      </w:r>
      <w:r>
        <w:rPr>
          <w:rFonts w:hint="eastAsia" w:ascii="仿宋" w:hAnsi="仿宋" w:eastAsia="仿宋" w:cs="仿宋"/>
          <w:szCs w:val="32"/>
          <w:lang w:val="en-US" w:eastAsia="zh-CN" w:bidi="ar-SA"/>
        </w:rPr>
        <w:fldChar w:fldCharType="end"/>
      </w:r>
    </w:p>
    <w:p w14:paraId="6C8BD16D">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_Toc1522840720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（四）日常监测持续推进</w:t>
      </w:r>
      <w:r>
        <w:tab/>
      </w:r>
      <w:r>
        <w:fldChar w:fldCharType="begin"/>
      </w:r>
      <w:r>
        <w:instrText xml:space="preserve"> PAGEREF _Toc1522840720 \h </w:instrText>
      </w:r>
      <w:r>
        <w:fldChar w:fldCharType="separate"/>
      </w:r>
      <w:r>
        <w:t>5</w:t>
      </w:r>
      <w:r>
        <w:fldChar w:fldCharType="end"/>
      </w:r>
      <w:r>
        <w:rPr>
          <w:rFonts w:hint="eastAsia" w:ascii="仿宋" w:hAnsi="仿宋" w:eastAsia="仿宋" w:cs="仿宋"/>
          <w:szCs w:val="32"/>
          <w:lang w:val="en-US" w:eastAsia="zh-CN" w:bidi="ar-SA"/>
        </w:rPr>
        <w:fldChar w:fldCharType="end"/>
      </w:r>
    </w:p>
    <w:p w14:paraId="2235C789">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_Toc673876094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lang w:val="en-US" w:eastAsia="zh-CN"/>
          <w14:textOutline w14:w="5791" w14:cap="flat" w14:cmpd="sng">
            <w14:solidFill>
              <w14:srgbClr w14:val="000000"/>
            </w14:solidFill>
            <w14:prstDash w14:val="solid"/>
            <w14:miter w14:val="0"/>
          </w14:textOutline>
        </w:rPr>
        <w:t>四、存在问题及原因分析</w:t>
      </w:r>
      <w:r>
        <w:tab/>
      </w:r>
      <w:r>
        <w:fldChar w:fldCharType="begin"/>
      </w:r>
      <w:r>
        <w:instrText xml:space="preserve"> PAGEREF _Toc673876094 \h </w:instrText>
      </w:r>
      <w:r>
        <w:fldChar w:fldCharType="separate"/>
      </w:r>
      <w:r>
        <w:t>6</w:t>
      </w:r>
      <w:r>
        <w:fldChar w:fldCharType="end"/>
      </w:r>
      <w:r>
        <w:rPr>
          <w:rFonts w:hint="eastAsia" w:ascii="仿宋" w:hAnsi="仿宋" w:eastAsia="仿宋" w:cs="仿宋"/>
          <w:szCs w:val="32"/>
          <w:lang w:val="en-US" w:eastAsia="zh-CN" w:bidi="ar-SA"/>
        </w:rPr>
        <w:fldChar w:fldCharType="end"/>
      </w:r>
    </w:p>
    <w:p w14:paraId="1AFEA172">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_Toc6757580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（一）安播短信发送</w:t>
      </w:r>
      <w:r>
        <w:rPr>
          <w:rFonts w:hint="eastAsia" w:ascii="仿宋" w:hAnsi="仿宋" w:eastAsia="仿宋" w:cs="仿宋"/>
          <w:snapToGrid w:val="0"/>
          <w:kern w:val="0"/>
          <w:szCs w:val="30"/>
          <w:lang w:val="en-US" w:eastAsia="zh"/>
        </w:rPr>
        <w:t>预估数量未达绩效目标值</w:t>
      </w:r>
      <w:r>
        <w:tab/>
      </w:r>
      <w:r>
        <w:fldChar w:fldCharType="begin"/>
      </w:r>
      <w:r>
        <w:instrText xml:space="preserve"> PAGEREF _Toc6757580 \h </w:instrText>
      </w:r>
      <w:r>
        <w:fldChar w:fldCharType="separate"/>
      </w:r>
      <w:r>
        <w:t>6</w:t>
      </w:r>
      <w:r>
        <w:fldChar w:fldCharType="end"/>
      </w:r>
      <w:r>
        <w:rPr>
          <w:rFonts w:hint="eastAsia" w:ascii="仿宋" w:hAnsi="仿宋" w:eastAsia="仿宋" w:cs="仿宋"/>
          <w:szCs w:val="32"/>
          <w:lang w:val="en-US" w:eastAsia="zh-CN" w:bidi="ar-SA"/>
        </w:rPr>
        <w:fldChar w:fldCharType="end"/>
      </w:r>
    </w:p>
    <w:p w14:paraId="19A23A02">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_Toc1905497416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zCs w:val="30"/>
          <w:lang w:val="en-US" w:eastAsia="zh"/>
        </w:rPr>
        <w:t>（二）</w:t>
      </w:r>
      <w:r>
        <w:rPr>
          <w:rFonts w:hint="eastAsia" w:ascii="仿宋" w:hAnsi="仿宋" w:eastAsia="仿宋" w:cs="仿宋"/>
          <w:snapToGrid w:val="0"/>
          <w:szCs w:val="30"/>
          <w:lang w:val="en-US" w:eastAsia="zh-CN"/>
        </w:rPr>
        <w:t>电视广告监测效率仍有待提高</w:t>
      </w:r>
      <w:r>
        <w:tab/>
      </w:r>
      <w:r>
        <w:fldChar w:fldCharType="begin"/>
      </w:r>
      <w:r>
        <w:instrText xml:space="preserve"> PAGEREF _Toc1905497416 \h </w:instrText>
      </w:r>
      <w:r>
        <w:fldChar w:fldCharType="separate"/>
      </w:r>
      <w:r>
        <w:t>6</w:t>
      </w:r>
      <w:r>
        <w:fldChar w:fldCharType="end"/>
      </w:r>
      <w:r>
        <w:rPr>
          <w:rFonts w:hint="eastAsia" w:ascii="仿宋" w:hAnsi="仿宋" w:eastAsia="仿宋" w:cs="仿宋"/>
          <w:szCs w:val="32"/>
          <w:lang w:val="en-US" w:eastAsia="zh-CN" w:bidi="ar-SA"/>
        </w:rPr>
        <w:fldChar w:fldCharType="end"/>
      </w:r>
    </w:p>
    <w:p w14:paraId="7C847DB7">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_Toc271443001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lang w:val="en-US" w:eastAsia="zh-CN"/>
          <w14:textOutline w14:w="5791" w14:cap="flat" w14:cmpd="sng">
            <w14:solidFill>
              <w14:srgbClr w14:val="000000"/>
            </w14:solidFill>
            <w14:prstDash w14:val="solid"/>
            <w14:miter w14:val="0"/>
          </w14:textOutline>
        </w:rPr>
        <w:t>五、有关建议</w:t>
      </w:r>
      <w:r>
        <w:tab/>
      </w:r>
      <w:r>
        <w:fldChar w:fldCharType="begin"/>
      </w:r>
      <w:r>
        <w:instrText xml:space="preserve"> PAGEREF _Toc271443001 \h </w:instrText>
      </w:r>
      <w:r>
        <w:fldChar w:fldCharType="separate"/>
      </w:r>
      <w:r>
        <w:t>7</w:t>
      </w:r>
      <w:r>
        <w:fldChar w:fldCharType="end"/>
      </w:r>
      <w:r>
        <w:rPr>
          <w:rFonts w:hint="eastAsia" w:ascii="仿宋" w:hAnsi="仿宋" w:eastAsia="仿宋" w:cs="仿宋"/>
          <w:szCs w:val="32"/>
          <w:lang w:val="en-US" w:eastAsia="zh-CN" w:bidi="ar-SA"/>
        </w:rPr>
        <w:fldChar w:fldCharType="end"/>
      </w:r>
    </w:p>
    <w:p w14:paraId="61D82A42">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_Toc887251579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zCs w:val="30"/>
          <w:lang w:val="en-US" w:eastAsia="zh-CN"/>
        </w:rPr>
        <w:t>（一）</w:t>
      </w:r>
      <w:r>
        <w:rPr>
          <w:rFonts w:hint="eastAsia" w:ascii="仿宋" w:hAnsi="仿宋" w:eastAsia="仿宋" w:cs="仿宋"/>
          <w:snapToGrid w:val="0"/>
          <w:szCs w:val="30"/>
          <w:lang w:val="en-US" w:eastAsia="zh"/>
        </w:rPr>
        <w:t>优化安播短信发送数量的预估和计划</w:t>
      </w:r>
      <w:r>
        <w:tab/>
      </w:r>
      <w:r>
        <w:fldChar w:fldCharType="begin"/>
      </w:r>
      <w:r>
        <w:instrText xml:space="preserve"> PAGEREF _Toc887251579 \h </w:instrText>
      </w:r>
      <w:r>
        <w:fldChar w:fldCharType="separate"/>
      </w:r>
      <w:r>
        <w:t>7</w:t>
      </w:r>
      <w:r>
        <w:fldChar w:fldCharType="end"/>
      </w:r>
      <w:r>
        <w:rPr>
          <w:rFonts w:hint="eastAsia" w:ascii="仿宋" w:hAnsi="仿宋" w:eastAsia="仿宋" w:cs="仿宋"/>
          <w:szCs w:val="32"/>
          <w:lang w:val="en-US" w:eastAsia="zh-CN" w:bidi="ar-SA"/>
        </w:rPr>
        <w:fldChar w:fldCharType="end"/>
      </w:r>
    </w:p>
    <w:p w14:paraId="76589573">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_Toc2058327132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zCs w:val="30"/>
          <w:lang w:val="en-US" w:eastAsia="zh-CN"/>
        </w:rPr>
        <w:t>（二）提高信息化建设水平，</w:t>
      </w:r>
      <w:r>
        <w:rPr>
          <w:rFonts w:hint="eastAsia" w:ascii="仿宋" w:hAnsi="仿宋" w:eastAsia="仿宋" w:cs="仿宋"/>
          <w:snapToGrid w:val="0"/>
          <w:kern w:val="0"/>
          <w:szCs w:val="30"/>
          <w:lang w:val="en-US" w:eastAsia="zh-CN" w:bidi="ar"/>
        </w:rPr>
        <w:t>持续推进监测能力提升</w:t>
      </w:r>
      <w:r>
        <w:tab/>
      </w:r>
      <w:r>
        <w:fldChar w:fldCharType="begin"/>
      </w:r>
      <w:r>
        <w:instrText xml:space="preserve"> PAGEREF _Toc2058327132 \h </w:instrText>
      </w:r>
      <w:r>
        <w:fldChar w:fldCharType="separate"/>
      </w:r>
      <w:r>
        <w:t>7</w:t>
      </w:r>
      <w:r>
        <w:fldChar w:fldCharType="end"/>
      </w:r>
      <w:r>
        <w:rPr>
          <w:rFonts w:hint="eastAsia" w:ascii="仿宋" w:hAnsi="仿宋" w:eastAsia="仿宋" w:cs="仿宋"/>
          <w:szCs w:val="32"/>
          <w:lang w:val="en-US" w:eastAsia="zh-CN" w:bidi="ar-SA"/>
        </w:rPr>
        <w:fldChar w:fldCharType="end"/>
      </w:r>
    </w:p>
    <w:p w14:paraId="5FA5DD0E">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_Toc490038001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spacing w:val="8"/>
          <w:kern w:val="0"/>
          <w:szCs w:val="32"/>
          <w14:textOutline w14:w="5791" w14:cap="flat" w14:cmpd="sng">
            <w14:solidFill>
              <w14:srgbClr w14:val="000000"/>
            </w14:solidFill>
            <w14:prstDash w14:val="solid"/>
            <w14:miter w14:val="0"/>
          </w14:textOutline>
        </w:rPr>
        <w:t>六、评价工作开展情况</w:t>
      </w:r>
      <w:r>
        <w:tab/>
      </w:r>
      <w:r>
        <w:fldChar w:fldCharType="begin"/>
      </w:r>
      <w:r>
        <w:instrText xml:space="preserve"> PAGEREF _Toc490038001 \h </w:instrText>
      </w:r>
      <w:r>
        <w:fldChar w:fldCharType="separate"/>
      </w:r>
      <w:r>
        <w:t>7</w:t>
      </w:r>
      <w:r>
        <w:fldChar w:fldCharType="end"/>
      </w:r>
      <w:r>
        <w:rPr>
          <w:rFonts w:hint="eastAsia" w:ascii="仿宋" w:hAnsi="仿宋" w:eastAsia="仿宋" w:cs="仿宋"/>
          <w:szCs w:val="32"/>
          <w:lang w:val="en-US" w:eastAsia="zh-CN" w:bidi="ar-SA"/>
        </w:rPr>
        <w:fldChar w:fldCharType="end"/>
      </w:r>
    </w:p>
    <w:p w14:paraId="2CFDA2C0">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_Toc468896562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（一）基本情况</w:t>
      </w:r>
      <w:r>
        <w:tab/>
      </w:r>
      <w:r>
        <w:fldChar w:fldCharType="begin"/>
      </w:r>
      <w:r>
        <w:instrText xml:space="preserve"> PAGEREF _Toc468896562 \h </w:instrText>
      </w:r>
      <w:r>
        <w:fldChar w:fldCharType="separate"/>
      </w:r>
      <w:r>
        <w:t>8</w:t>
      </w:r>
      <w:r>
        <w:fldChar w:fldCharType="end"/>
      </w:r>
      <w:r>
        <w:rPr>
          <w:rFonts w:hint="eastAsia" w:ascii="仿宋" w:hAnsi="仿宋" w:eastAsia="仿宋" w:cs="仿宋"/>
          <w:szCs w:val="32"/>
          <w:lang w:val="en-US" w:eastAsia="zh-CN" w:bidi="ar-SA"/>
        </w:rPr>
        <w:fldChar w:fldCharType="end"/>
      </w:r>
    </w:p>
    <w:p w14:paraId="4A28C757">
      <w:pPr>
        <w:pStyle w:val="7"/>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_Toc1627016691 </w:instrText>
      </w:r>
      <w:r>
        <w:rPr>
          <w:rFonts w:hint="eastAsia" w:ascii="仿宋" w:hAnsi="仿宋" w:eastAsia="仿宋" w:cs="仿宋"/>
          <w:szCs w:val="32"/>
          <w:lang w:val="en-US" w:eastAsia="zh-CN" w:bidi="ar-SA"/>
        </w:rPr>
        <w:fldChar w:fldCharType="separate"/>
      </w:r>
      <w:r>
        <w:rPr>
          <w:rFonts w:hint="eastAsia" w:ascii="仿宋" w:hAnsi="仿宋" w:eastAsia="仿宋" w:cs="仿宋"/>
          <w:snapToGrid w:val="0"/>
          <w:kern w:val="0"/>
          <w:szCs w:val="30"/>
          <w:lang w:val="en-US" w:eastAsia="zh-CN"/>
        </w:rPr>
        <w:t>（二）评价组织实施</w:t>
      </w:r>
      <w:r>
        <w:tab/>
      </w:r>
      <w:r>
        <w:fldChar w:fldCharType="begin"/>
      </w:r>
      <w:r>
        <w:instrText xml:space="preserve"> PAGEREF _Toc1627016691 \h </w:instrText>
      </w:r>
      <w:r>
        <w:fldChar w:fldCharType="separate"/>
      </w:r>
      <w:r>
        <w:t>12</w:t>
      </w:r>
      <w:r>
        <w:fldChar w:fldCharType="end"/>
      </w:r>
      <w:r>
        <w:rPr>
          <w:rFonts w:hint="eastAsia" w:ascii="仿宋" w:hAnsi="仿宋" w:eastAsia="仿宋" w:cs="仿宋"/>
          <w:szCs w:val="32"/>
          <w:lang w:val="en-US" w:eastAsia="zh-CN" w:bidi="ar-SA"/>
        </w:rPr>
        <w:fldChar w:fldCharType="end"/>
      </w:r>
    </w:p>
    <w:p w14:paraId="7928612B">
      <w:pPr>
        <w:pStyle w:val="6"/>
        <w:tabs>
          <w:tab w:val="right" w:leader="dot" w:pos="8310"/>
        </w:tabs>
      </w:pPr>
      <w:r>
        <w:rPr>
          <w:rFonts w:hint="eastAsia" w:ascii="仿宋" w:hAnsi="仿宋" w:eastAsia="仿宋" w:cs="仿宋"/>
          <w:szCs w:val="32"/>
          <w:lang w:val="en-US" w:eastAsia="zh-CN" w:bidi="ar-SA"/>
        </w:rPr>
        <w:fldChar w:fldCharType="begin"/>
      </w:r>
      <w:r>
        <w:rPr>
          <w:rFonts w:hint="eastAsia" w:ascii="仿宋" w:hAnsi="仿宋" w:eastAsia="仿宋" w:cs="仿宋"/>
          <w:szCs w:val="32"/>
          <w:lang w:val="en-US" w:eastAsia="zh-CN" w:bidi="ar-SA"/>
        </w:rPr>
        <w:instrText xml:space="preserve"> HYPERLINK \l _Toc1360248386 </w:instrText>
      </w:r>
      <w:r>
        <w:rPr>
          <w:rFonts w:hint="eastAsia" w:ascii="仿宋" w:hAnsi="仿宋" w:eastAsia="仿宋" w:cs="仿宋"/>
          <w:szCs w:val="32"/>
          <w:lang w:val="en-US" w:eastAsia="zh-CN" w:bidi="ar-SA"/>
        </w:rPr>
        <w:fldChar w:fldCharType="separate"/>
      </w:r>
      <w:r>
        <w:rPr>
          <w:rFonts w:hint="eastAsia" w:ascii="宋体" w:hAnsi="宋体" w:eastAsia="宋体" w:cs="宋体"/>
          <w:snapToGrid w:val="0"/>
          <w:spacing w:val="-1"/>
          <w:kern w:val="0"/>
          <w:szCs w:val="31"/>
          <w:lang w:val="en-US" w:eastAsia="zh-CN"/>
          <w14:textOutline w14:w="5791" w14:cap="flat" w14:cmpd="sng">
            <w14:solidFill>
              <w14:srgbClr w14:val="000000"/>
            </w14:solidFill>
            <w14:prstDash w14:val="solid"/>
            <w14:miter w14:val="0"/>
          </w14:textOutline>
        </w:rPr>
        <w:t>附件：绩效评价指标体系得分情况表</w:t>
      </w:r>
      <w:r>
        <w:tab/>
      </w:r>
      <w:r>
        <w:fldChar w:fldCharType="begin"/>
      </w:r>
      <w:r>
        <w:instrText xml:space="preserve"> PAGEREF _Toc1360248386 \h </w:instrText>
      </w:r>
      <w:r>
        <w:fldChar w:fldCharType="separate"/>
      </w:r>
      <w:r>
        <w:t>12</w:t>
      </w:r>
      <w:r>
        <w:fldChar w:fldCharType="end"/>
      </w:r>
      <w:r>
        <w:rPr>
          <w:rFonts w:hint="eastAsia" w:ascii="仿宋" w:hAnsi="仿宋" w:eastAsia="仿宋" w:cs="仿宋"/>
          <w:szCs w:val="32"/>
          <w:lang w:val="en-US" w:eastAsia="zh-CN" w:bidi="ar-SA"/>
        </w:rPr>
        <w:fldChar w:fldCharType="end"/>
      </w:r>
    </w:p>
    <w:p w14:paraId="38EFA042">
      <w:pPr>
        <w:keepNext w:val="0"/>
        <w:keepLines w:val="0"/>
        <w:pageBreakBefore w:val="0"/>
        <w:widowControl w:val="0"/>
        <w:kinsoku/>
        <w:wordWrap/>
        <w:overflowPunct/>
        <w:topLinePunct w:val="0"/>
        <w:autoSpaceDE w:val="0"/>
        <w:autoSpaceDN w:val="0"/>
        <w:bidi w:val="0"/>
        <w:adjustRightInd/>
        <w:snapToGrid/>
        <w:spacing w:line="312" w:lineRule="auto"/>
        <w:textAlignment w:val="auto"/>
        <w:rPr>
          <w:rFonts w:hint="eastAsia" w:ascii="仿宋" w:hAnsi="仿宋" w:eastAsia="仿宋" w:cs="仿宋"/>
          <w:b/>
          <w:sz w:val="32"/>
          <w:szCs w:val="32"/>
          <w:lang w:val="en-US" w:eastAsia="zh-CN" w:bidi="ar-SA"/>
        </w:rPr>
      </w:pPr>
      <w:r>
        <w:rPr>
          <w:rFonts w:hint="eastAsia" w:ascii="仿宋" w:hAnsi="仿宋" w:eastAsia="仿宋" w:cs="仿宋"/>
          <w:szCs w:val="32"/>
          <w:lang w:val="en-US" w:eastAsia="zh-CN" w:bidi="ar-SA"/>
        </w:rPr>
        <w:fldChar w:fldCharType="end"/>
      </w:r>
    </w:p>
    <w:p w14:paraId="0BDAFB54">
      <w:pPr>
        <w:keepNext w:val="0"/>
        <w:keepLines w:val="0"/>
        <w:pageBreakBefore w:val="0"/>
        <w:widowControl w:val="0"/>
        <w:kinsoku/>
        <w:wordWrap/>
        <w:overflowPunct/>
        <w:topLinePunct w:val="0"/>
        <w:autoSpaceDE w:val="0"/>
        <w:autoSpaceDN w:val="0"/>
        <w:bidi w:val="0"/>
        <w:adjustRightInd/>
        <w:snapToGrid/>
        <w:spacing w:line="312" w:lineRule="auto"/>
        <w:textAlignment w:val="auto"/>
        <w:rPr>
          <w:rFonts w:hint="eastAsia" w:ascii="仿宋" w:hAnsi="仿宋" w:eastAsia="仿宋" w:cs="仿宋"/>
          <w:b/>
          <w:sz w:val="32"/>
          <w:szCs w:val="32"/>
          <w:lang w:val="en-US" w:eastAsia="zh-CN" w:bidi="ar-SA"/>
        </w:rPr>
        <w:sectPr>
          <w:footerReference r:id="rId5" w:type="default"/>
          <w:pgSz w:w="11910" w:h="16840"/>
          <w:pgMar w:top="1440" w:right="1800" w:bottom="1440" w:left="1800" w:header="0" w:footer="1197" w:gutter="0"/>
          <w:cols w:space="720" w:num="1"/>
        </w:sectPr>
      </w:pPr>
    </w:p>
    <w:p w14:paraId="2DDCC479">
      <w:pPr>
        <w:pStyle w:val="2"/>
        <w:keepNext w:val="0"/>
        <w:keepLines w:val="0"/>
        <w:pageBreakBefore w:val="0"/>
        <w:widowControl w:val="0"/>
        <w:kinsoku/>
        <w:wordWrap/>
        <w:overflowPunct/>
        <w:topLinePunct w:val="0"/>
        <w:autoSpaceDE w:val="0"/>
        <w:autoSpaceDN w:val="0"/>
        <w:bidi w:val="0"/>
        <w:adjustRightInd/>
        <w:snapToGrid/>
        <w:spacing w:before="46" w:line="365" w:lineRule="auto"/>
        <w:ind w:left="0" w:right="0" w:firstLine="0"/>
        <w:jc w:val="center"/>
        <w:textAlignment w:val="auto"/>
        <w:outlineLvl w:val="9"/>
        <w:rPr>
          <w:rFonts w:hint="eastAsia" w:ascii="仿宋" w:hAnsi="仿宋" w:eastAsia="仿宋" w:cs="仿宋"/>
          <w:b/>
          <w:bCs w:val="0"/>
          <w:sz w:val="32"/>
          <w:szCs w:val="32"/>
        </w:rPr>
      </w:pPr>
      <w:r>
        <w:rPr>
          <w:rFonts w:hint="eastAsia" w:ascii="仿宋" w:hAnsi="仿宋" w:eastAsia="仿宋" w:cs="仿宋"/>
          <w:b/>
          <w:bCs w:val="0"/>
          <w:sz w:val="32"/>
          <w:szCs w:val="32"/>
          <w:lang w:eastAsia="zh-CN"/>
        </w:rPr>
        <w:t>202</w:t>
      </w:r>
      <w:r>
        <w:rPr>
          <w:rFonts w:hint="eastAsia" w:ascii="仿宋" w:hAnsi="仿宋" w:eastAsia="仿宋" w:cs="仿宋"/>
          <w:b/>
          <w:bCs w:val="0"/>
          <w:sz w:val="32"/>
          <w:szCs w:val="32"/>
          <w:lang w:val="en-US" w:eastAsia="zh-CN"/>
        </w:rPr>
        <w:t>3</w:t>
      </w:r>
      <w:r>
        <w:rPr>
          <w:rFonts w:hint="eastAsia" w:ascii="仿宋" w:hAnsi="仿宋" w:eastAsia="仿宋" w:cs="仿宋"/>
          <w:b/>
          <w:bCs w:val="0"/>
          <w:sz w:val="32"/>
          <w:szCs w:val="32"/>
        </w:rPr>
        <w:t>年度南京市文化和旅游局-南京市广播电视监测站</w:t>
      </w:r>
    </w:p>
    <w:p w14:paraId="5EE5BFED">
      <w:pPr>
        <w:pStyle w:val="2"/>
        <w:keepNext w:val="0"/>
        <w:keepLines w:val="0"/>
        <w:pageBreakBefore w:val="0"/>
        <w:widowControl w:val="0"/>
        <w:kinsoku/>
        <w:wordWrap/>
        <w:overflowPunct/>
        <w:topLinePunct w:val="0"/>
        <w:autoSpaceDE w:val="0"/>
        <w:autoSpaceDN w:val="0"/>
        <w:bidi w:val="0"/>
        <w:adjustRightInd/>
        <w:snapToGrid/>
        <w:spacing w:before="46" w:line="365" w:lineRule="auto"/>
        <w:ind w:left="0" w:right="0" w:firstLine="0"/>
        <w:jc w:val="center"/>
        <w:textAlignment w:val="auto"/>
        <w:outlineLvl w:val="9"/>
        <w:rPr>
          <w:rFonts w:hint="eastAsia" w:ascii="仿宋" w:hAnsi="仿宋" w:eastAsia="仿宋" w:cs="仿宋"/>
          <w:sz w:val="32"/>
          <w:szCs w:val="32"/>
        </w:rPr>
      </w:pPr>
      <w:r>
        <w:rPr>
          <w:rFonts w:hint="eastAsia" w:ascii="仿宋" w:hAnsi="仿宋" w:eastAsia="仿宋" w:cs="仿宋"/>
          <w:b/>
          <w:bCs w:val="0"/>
          <w:sz w:val="32"/>
          <w:szCs w:val="32"/>
          <w:lang w:val="en-US" w:eastAsia="zh-CN"/>
        </w:rPr>
        <w:t>部门</w:t>
      </w:r>
      <w:r>
        <w:rPr>
          <w:rFonts w:hint="eastAsia" w:ascii="仿宋" w:hAnsi="仿宋" w:eastAsia="仿宋" w:cs="仿宋"/>
          <w:b/>
          <w:bCs w:val="0"/>
          <w:sz w:val="32"/>
          <w:szCs w:val="32"/>
        </w:rPr>
        <w:t>整体绩效自评价报告</w:t>
      </w:r>
    </w:p>
    <w:p w14:paraId="6F50820C">
      <w:pPr>
        <w:rPr>
          <w:rFonts w:hint="eastAsia"/>
        </w:rPr>
      </w:pPr>
    </w:p>
    <w:p w14:paraId="1217670C">
      <w:pPr>
        <w:keepNext w:val="0"/>
        <w:keepLines w:val="0"/>
        <w:pageBreakBefore w:val="0"/>
        <w:widowControl/>
        <w:kinsoku/>
        <w:wordWrap/>
        <w:overflowPunct/>
        <w:topLinePunct w:val="0"/>
        <w:autoSpaceDE w:val="0"/>
        <w:autoSpaceDN w:val="0"/>
        <w:bidi w:val="0"/>
        <w:adjustRightInd w:val="0"/>
        <w:snapToGrid w:val="0"/>
        <w:spacing w:line="360" w:lineRule="auto"/>
        <w:ind w:left="34" w:firstLine="629"/>
        <w:jc w:val="both"/>
        <w:textAlignment w:val="baseline"/>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为了强化部门预算绩效管理水平，更好地规范部门预算编制、执行的程序性和合理性、合规性，提升部门支出的经济性、效率性和效益性，更好地促进部门履职、部门管理和事业发展。根据《预算法》及其实施条例，我们对南京市文化和旅游局——</w:t>
      </w:r>
      <w:r>
        <w:rPr>
          <w:rFonts w:hint="eastAsia" w:ascii="仿宋" w:hAnsi="仿宋" w:eastAsia="仿宋" w:cs="仿宋"/>
          <w:sz w:val="32"/>
          <w:szCs w:val="32"/>
        </w:rPr>
        <w:t>南京市广播电视监测站</w:t>
      </w:r>
      <w:r>
        <w:rPr>
          <w:rFonts w:hint="eastAsia" w:ascii="仿宋" w:hAnsi="仿宋" w:eastAsia="仿宋" w:cs="仿宋"/>
          <w:sz w:val="30"/>
          <w:szCs w:val="30"/>
          <w:lang w:val="en-US" w:eastAsia="zh-CN"/>
        </w:rPr>
        <w:t>2023年度预算绩效管理情况进行了整体评价。</w:t>
      </w:r>
    </w:p>
    <w:p w14:paraId="008F623F">
      <w:pPr>
        <w:pStyle w:val="2"/>
        <w:rPr>
          <w:rFonts w:hint="eastAsia"/>
        </w:rPr>
      </w:pPr>
    </w:p>
    <w:p w14:paraId="7BF85F46">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pPr>
      <w:bookmarkStart w:id="0" w:name="_bookmark0"/>
      <w:bookmarkEnd w:id="0"/>
      <w:bookmarkStart w:id="1" w:name="一、单位基本情况"/>
      <w:bookmarkEnd w:id="1"/>
      <w:bookmarkStart w:id="2" w:name="_Toc827225257"/>
      <w:bookmarkStart w:id="3" w:name="_Toc275784509"/>
      <w:bookmarkStart w:id="4" w:name="_Toc1619551561"/>
      <w:bookmarkStart w:id="5" w:name="_Toc15543"/>
      <w:bookmarkStart w:id="6" w:name="_Toc2146520038"/>
      <w:bookmarkStart w:id="7" w:name="_Toc29597"/>
      <w:bookmarkStart w:id="8" w:name="_Toc50801966"/>
      <w:bookmarkStart w:id="9" w:name="_Toc1692602548"/>
      <w:bookmarkStart w:id="10" w:name="_Toc564227683"/>
      <w:bookmarkStart w:id="11" w:name="_Toc27980"/>
      <w:r>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t>一、单位</w:t>
      </w:r>
      <w:r>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t>概况</w:t>
      </w:r>
      <w:bookmarkEnd w:id="2"/>
      <w:bookmarkEnd w:id="3"/>
      <w:bookmarkEnd w:id="4"/>
      <w:bookmarkEnd w:id="5"/>
      <w:bookmarkEnd w:id="6"/>
      <w:bookmarkEnd w:id="7"/>
      <w:bookmarkEnd w:id="8"/>
      <w:bookmarkEnd w:id="9"/>
      <w:bookmarkEnd w:id="10"/>
      <w:bookmarkEnd w:id="11"/>
    </w:p>
    <w:p w14:paraId="66C7EB7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12" w:name="_bookmark1"/>
      <w:bookmarkEnd w:id="12"/>
      <w:bookmarkStart w:id="13" w:name="（一）单位概况"/>
      <w:bookmarkEnd w:id="13"/>
      <w:bookmarkStart w:id="14" w:name="_Toc984492713"/>
      <w:bookmarkStart w:id="15" w:name="_Toc840532537"/>
      <w:bookmarkStart w:id="16" w:name="_Toc24553"/>
      <w:bookmarkStart w:id="17" w:name="_Toc447860002"/>
      <w:bookmarkStart w:id="18" w:name="_Toc1277634703"/>
      <w:bookmarkStart w:id="19" w:name="_Toc365763721"/>
      <w:bookmarkStart w:id="20" w:name="_Toc2853"/>
      <w:bookmarkStart w:id="21" w:name="_Toc2002636074"/>
      <w:bookmarkStart w:id="22" w:name="_Toc7896"/>
      <w:bookmarkStart w:id="23" w:name="_Toc1834366676"/>
      <w:r>
        <w:rPr>
          <w:rFonts w:hint="eastAsia" w:ascii="仿宋" w:hAnsi="仿宋" w:eastAsia="仿宋" w:cs="仿宋"/>
          <w:snapToGrid w:val="0"/>
          <w:color w:val="000000"/>
          <w:kern w:val="0"/>
          <w:sz w:val="30"/>
          <w:szCs w:val="30"/>
          <w:lang w:val="en-US" w:eastAsia="zh-CN"/>
        </w:rPr>
        <w:t>（一）单位基本情况</w:t>
      </w:r>
      <w:bookmarkEnd w:id="14"/>
      <w:bookmarkEnd w:id="15"/>
      <w:bookmarkEnd w:id="16"/>
      <w:bookmarkEnd w:id="17"/>
      <w:bookmarkEnd w:id="18"/>
      <w:bookmarkEnd w:id="19"/>
      <w:bookmarkEnd w:id="20"/>
      <w:bookmarkEnd w:id="21"/>
      <w:bookmarkEnd w:id="22"/>
      <w:bookmarkEnd w:id="23"/>
    </w:p>
    <w:p w14:paraId="3EA981EC">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 w:name="_Toc11876"/>
      <w:r>
        <w:rPr>
          <w:rFonts w:hint="eastAsia" w:ascii="仿宋" w:hAnsi="仿宋" w:eastAsia="仿宋" w:cs="仿宋"/>
          <w:snapToGrid w:val="0"/>
          <w:color w:val="000000"/>
          <w:kern w:val="0"/>
          <w:sz w:val="30"/>
          <w:szCs w:val="30"/>
          <w:lang w:val="en-US" w:eastAsia="zh-CN"/>
        </w:rPr>
        <w:t>1.单位基本情况</w:t>
      </w:r>
      <w:bookmarkEnd w:id="24"/>
    </w:p>
    <w:p w14:paraId="32D8129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南京市广播电视监测站于2007年8月13日成立，南京市文化和旅游局所属全额拨款事业单位，公益一类，相当于正处级。</w:t>
      </w:r>
    </w:p>
    <w:p w14:paraId="6C7B2B6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5" w:name="_Toc3403"/>
      <w:r>
        <w:rPr>
          <w:rFonts w:hint="eastAsia" w:ascii="仿宋" w:hAnsi="仿宋" w:eastAsia="仿宋" w:cs="仿宋"/>
          <w:snapToGrid w:val="0"/>
          <w:color w:val="000000"/>
          <w:kern w:val="0"/>
          <w:sz w:val="30"/>
          <w:szCs w:val="30"/>
          <w:lang w:val="en-US" w:eastAsia="zh-CN"/>
        </w:rPr>
        <w:t>2.单位主要职能</w:t>
      </w:r>
      <w:bookmarkEnd w:id="25"/>
    </w:p>
    <w:p w14:paraId="3B60C23B">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南京市广播电视监测站承担全市广播电视安全播出工作，参与制定广播电视安全应急预案；开展全市广播电视节目播出技术和内容的监控；承担全市广播电视节目传送、信息网络传播视听节目、广播电视视频点播等业务的监测工作；承担各区广播电视监测的指导培训工作。</w:t>
      </w:r>
    </w:p>
    <w:p w14:paraId="5EF5EDB5">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6" w:name="_Toc3423"/>
      <w:r>
        <w:rPr>
          <w:rFonts w:hint="eastAsia" w:ascii="仿宋" w:hAnsi="仿宋" w:eastAsia="仿宋" w:cs="仿宋"/>
          <w:snapToGrid w:val="0"/>
          <w:color w:val="000000"/>
          <w:kern w:val="0"/>
          <w:sz w:val="30"/>
          <w:szCs w:val="30"/>
          <w:lang w:val="en-US" w:eastAsia="zh-CN"/>
        </w:rPr>
        <w:t>3.单位内设机构及职责范围</w:t>
      </w:r>
      <w:bookmarkEnd w:id="26"/>
    </w:p>
    <w:p w14:paraId="4F52B08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南京市广播电视监测站无内设部门。</w:t>
      </w:r>
    </w:p>
    <w:p w14:paraId="26CAA74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7" w:name="_Toc8829"/>
      <w:r>
        <w:rPr>
          <w:rFonts w:hint="eastAsia" w:ascii="仿宋" w:hAnsi="仿宋" w:eastAsia="仿宋" w:cs="仿宋"/>
          <w:snapToGrid w:val="0"/>
          <w:color w:val="000000"/>
          <w:kern w:val="0"/>
          <w:sz w:val="30"/>
          <w:szCs w:val="30"/>
          <w:lang w:val="en-US" w:eastAsia="zh-CN"/>
        </w:rPr>
        <w:t>4.单位人员情况</w:t>
      </w:r>
      <w:bookmarkEnd w:id="27"/>
    </w:p>
    <w:p w14:paraId="74F00BC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2023年度本单位编制核定数4人，实有在编人数4人。</w:t>
      </w:r>
    </w:p>
    <w:p w14:paraId="1749E9B5">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8" w:name="_Toc8196"/>
      <w:r>
        <w:rPr>
          <w:rFonts w:hint="eastAsia" w:ascii="仿宋" w:hAnsi="仿宋" w:eastAsia="仿宋" w:cs="仿宋"/>
          <w:snapToGrid w:val="0"/>
          <w:color w:val="000000"/>
          <w:kern w:val="0"/>
          <w:sz w:val="30"/>
          <w:szCs w:val="30"/>
          <w:lang w:val="en-US" w:eastAsia="zh-CN"/>
        </w:rPr>
        <w:t>5.单位资产情况</w:t>
      </w:r>
      <w:bookmarkEnd w:id="28"/>
    </w:p>
    <w:p w14:paraId="678A408E">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截至2023年12月31日，南京市广播电视监测站资产总额共计81.05万元，其中：流动资产3.22万元，非流动资产77.83万元。固定资产原值33</w:t>
      </w:r>
      <w:r>
        <w:rPr>
          <w:rFonts w:hint="eastAsia" w:ascii="仿宋" w:hAnsi="仿宋" w:eastAsia="仿宋" w:cs="仿宋"/>
          <w:snapToGrid w:val="0"/>
          <w:color w:val="000000"/>
          <w:kern w:val="0"/>
          <w:sz w:val="30"/>
          <w:szCs w:val="30"/>
          <w:lang w:val="en-US" w:eastAsia="zh"/>
        </w:rPr>
        <w:t>6.</w:t>
      </w:r>
      <w:r>
        <w:rPr>
          <w:rFonts w:hint="eastAsia" w:ascii="仿宋" w:hAnsi="仿宋" w:eastAsia="仿宋" w:cs="仿宋"/>
          <w:snapToGrid w:val="0"/>
          <w:color w:val="000000"/>
          <w:kern w:val="0"/>
          <w:sz w:val="30"/>
          <w:szCs w:val="30"/>
          <w:lang w:val="en-US" w:eastAsia="zh-CN"/>
        </w:rPr>
        <w:t>6</w:t>
      </w:r>
      <w:r>
        <w:rPr>
          <w:rFonts w:hint="eastAsia" w:ascii="仿宋" w:hAnsi="仿宋" w:eastAsia="仿宋" w:cs="仿宋"/>
          <w:snapToGrid w:val="0"/>
          <w:color w:val="000000"/>
          <w:kern w:val="0"/>
          <w:sz w:val="30"/>
          <w:szCs w:val="30"/>
          <w:lang w:val="en-US" w:eastAsia="zh"/>
        </w:rPr>
        <w:t>5</w:t>
      </w:r>
      <w:r>
        <w:rPr>
          <w:rFonts w:hint="eastAsia" w:ascii="仿宋" w:hAnsi="仿宋" w:eastAsia="仿宋" w:cs="仿宋"/>
          <w:snapToGrid w:val="0"/>
          <w:color w:val="000000"/>
          <w:kern w:val="0"/>
          <w:sz w:val="30"/>
          <w:szCs w:val="30"/>
          <w:lang w:val="en-US" w:eastAsia="zh-CN"/>
        </w:rPr>
        <w:t>万元，净值</w:t>
      </w:r>
      <w:r>
        <w:rPr>
          <w:rFonts w:hint="eastAsia" w:ascii="仿宋" w:hAnsi="仿宋" w:eastAsia="仿宋" w:cs="仿宋"/>
          <w:snapToGrid w:val="0"/>
          <w:color w:val="000000"/>
          <w:kern w:val="0"/>
          <w:sz w:val="30"/>
          <w:szCs w:val="30"/>
          <w:lang w:val="en-US" w:eastAsia="zh"/>
        </w:rPr>
        <w:t>77.84</w:t>
      </w:r>
      <w:r>
        <w:rPr>
          <w:rFonts w:hint="eastAsia" w:ascii="仿宋" w:hAnsi="仿宋" w:eastAsia="仿宋" w:cs="仿宋"/>
          <w:snapToGrid w:val="0"/>
          <w:color w:val="000000"/>
          <w:kern w:val="0"/>
          <w:sz w:val="30"/>
          <w:szCs w:val="30"/>
          <w:lang w:val="en-US" w:eastAsia="zh-CN"/>
        </w:rPr>
        <w:t>万元。</w:t>
      </w:r>
    </w:p>
    <w:p w14:paraId="5D491001">
      <w:pPr>
        <w:keepNext w:val="0"/>
        <w:keepLines w:val="0"/>
        <w:pageBreakBefore w:val="0"/>
        <w:widowControl/>
        <w:kinsoku/>
        <w:wordWrap/>
        <w:overflowPunct/>
        <w:topLinePunct w:val="0"/>
        <w:autoSpaceDE/>
        <w:autoSpaceDN/>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2023年度本单位公务用车核定数0辆，实有公务用车0辆。单价50万元（含）以上的通用设备0台（套），单价100万元（含）以上的专用设备0台（套）。</w:t>
      </w:r>
    </w:p>
    <w:p w14:paraId="2B8212AF">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FF"/>
          <w:kern w:val="0"/>
          <w:sz w:val="30"/>
          <w:szCs w:val="30"/>
          <w:lang w:val="en-US" w:eastAsia="zh-CN"/>
        </w:rPr>
      </w:pPr>
      <w:bookmarkStart w:id="29" w:name="_bookmark2"/>
      <w:bookmarkEnd w:id="29"/>
      <w:bookmarkStart w:id="30" w:name="（二）单位收支情况"/>
      <w:bookmarkEnd w:id="30"/>
      <w:bookmarkStart w:id="31" w:name="_Toc1292661133"/>
      <w:bookmarkStart w:id="32" w:name="_Toc30281"/>
      <w:bookmarkStart w:id="33" w:name="_Toc682919393"/>
      <w:bookmarkStart w:id="34" w:name="_Toc793296287"/>
      <w:bookmarkStart w:id="35" w:name="_Toc517466968"/>
      <w:bookmarkStart w:id="36" w:name="_Toc7527256"/>
      <w:bookmarkStart w:id="37" w:name="_Toc252870879"/>
      <w:bookmarkStart w:id="38" w:name="_Toc925487200"/>
      <w:bookmarkStart w:id="39" w:name="_Toc8130"/>
      <w:bookmarkStart w:id="40" w:name="_Toc12794"/>
      <w:r>
        <w:rPr>
          <w:rFonts w:hint="eastAsia" w:ascii="仿宋" w:hAnsi="仿宋" w:eastAsia="仿宋" w:cs="仿宋"/>
          <w:snapToGrid w:val="0"/>
          <w:color w:val="000000"/>
          <w:kern w:val="0"/>
          <w:sz w:val="30"/>
          <w:szCs w:val="30"/>
          <w:lang w:val="en-US" w:eastAsia="zh-CN"/>
        </w:rPr>
        <w:t>（二）单位收支</w:t>
      </w:r>
      <w:r>
        <w:rPr>
          <w:rFonts w:hint="eastAsia" w:ascii="仿宋" w:hAnsi="仿宋" w:eastAsia="仿宋" w:cs="仿宋"/>
          <w:snapToGrid w:val="0"/>
          <w:color w:val="auto"/>
          <w:kern w:val="0"/>
          <w:sz w:val="30"/>
          <w:szCs w:val="30"/>
          <w:lang w:val="en-US" w:eastAsia="zh-CN"/>
        </w:rPr>
        <w:t>情况</w:t>
      </w:r>
      <w:bookmarkEnd w:id="31"/>
      <w:bookmarkEnd w:id="32"/>
      <w:bookmarkEnd w:id="33"/>
      <w:bookmarkEnd w:id="34"/>
      <w:bookmarkEnd w:id="35"/>
      <w:bookmarkEnd w:id="36"/>
      <w:bookmarkEnd w:id="37"/>
      <w:bookmarkEnd w:id="38"/>
      <w:bookmarkEnd w:id="39"/>
      <w:bookmarkEnd w:id="40"/>
    </w:p>
    <w:p w14:paraId="77F694AA">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41" w:name="_Toc6359"/>
      <w:r>
        <w:rPr>
          <w:rFonts w:hint="eastAsia" w:ascii="仿宋" w:hAnsi="仿宋" w:eastAsia="仿宋" w:cs="仿宋"/>
          <w:snapToGrid w:val="0"/>
          <w:color w:val="000000"/>
          <w:kern w:val="0"/>
          <w:sz w:val="30"/>
          <w:szCs w:val="30"/>
          <w:lang w:val="en-US" w:eastAsia="zh-CN"/>
        </w:rPr>
        <w:t>1.单位预算收支情况</w:t>
      </w:r>
      <w:bookmarkEnd w:id="41"/>
    </w:p>
    <w:p w14:paraId="6B77382C">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default"/>
          <w:lang w:val="en-US" w:eastAsia="zh-CN"/>
        </w:rPr>
      </w:pPr>
      <w:r>
        <w:rPr>
          <w:rFonts w:hint="eastAsia" w:ascii="仿宋" w:hAnsi="仿宋" w:eastAsia="仿宋" w:cs="仿宋"/>
          <w:snapToGrid w:val="0"/>
          <w:color w:val="000000"/>
          <w:kern w:val="0"/>
          <w:sz w:val="30"/>
          <w:szCs w:val="30"/>
          <w:lang w:val="en-US" w:eastAsia="zh-CN"/>
        </w:rPr>
        <w:t>2023年度，南京市广播电视监测站年初预算收入211.45万元，其中：基本支出168.25万元，项目支出43.20万元。调整后全年预算收入350.91万元，较年初调增139.46万元，调增的主要原因为追加了其他文化和旅游支出以及监测监管支出。</w:t>
      </w:r>
    </w:p>
    <w:p w14:paraId="0F18924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42" w:name="_Toc2216"/>
      <w:r>
        <w:rPr>
          <w:rFonts w:hint="eastAsia" w:ascii="仿宋" w:hAnsi="仿宋" w:eastAsia="仿宋" w:cs="仿宋"/>
          <w:snapToGrid w:val="0"/>
          <w:color w:val="000000"/>
          <w:kern w:val="0"/>
          <w:sz w:val="30"/>
          <w:szCs w:val="30"/>
          <w:lang w:val="en-US" w:eastAsia="zh-CN"/>
        </w:rPr>
        <w:t>2.单位预算执行情况</w:t>
      </w:r>
      <w:bookmarkEnd w:id="42"/>
    </w:p>
    <w:p w14:paraId="35244F0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2023年度，南京市广播电视监测站决算支出336.11万元，其中：基本支出175.19万元，项目支出160.92万元。南京市广播电视监测站预算执行率为95.78%。</w:t>
      </w:r>
    </w:p>
    <w:p w14:paraId="1A419EAB">
      <w:pPr>
        <w:keepNext w:val="0"/>
        <w:keepLines w:val="0"/>
        <w:pageBreakBefore w:val="0"/>
        <w:widowControl/>
        <w:kinsoku/>
        <w:wordWrap/>
        <w:overflowPunct/>
        <w:topLinePunct w:val="0"/>
        <w:autoSpaceDE/>
        <w:autoSpaceDN/>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43" w:name="_bookmark3"/>
      <w:bookmarkEnd w:id="43"/>
      <w:bookmarkStart w:id="44" w:name="（三）单位绩效目标"/>
      <w:bookmarkEnd w:id="44"/>
      <w:bookmarkStart w:id="45" w:name="_Toc1956540066"/>
      <w:bookmarkStart w:id="46" w:name="_Toc16584"/>
      <w:bookmarkStart w:id="47" w:name="_Toc130725940"/>
      <w:bookmarkStart w:id="48" w:name="_Toc1906044473"/>
      <w:bookmarkStart w:id="49" w:name="_Toc1811089279"/>
      <w:bookmarkStart w:id="50" w:name="_Toc1352215033"/>
      <w:bookmarkStart w:id="51" w:name="_Toc439315179"/>
      <w:bookmarkStart w:id="52" w:name="_Toc1673628583"/>
      <w:bookmarkStart w:id="53" w:name="_Toc5466"/>
      <w:bookmarkStart w:id="54" w:name="_Toc27014"/>
      <w:r>
        <w:rPr>
          <w:rFonts w:hint="eastAsia" w:ascii="仿宋" w:hAnsi="仿宋" w:eastAsia="仿宋" w:cs="仿宋"/>
          <w:snapToGrid w:val="0"/>
          <w:color w:val="000000"/>
          <w:kern w:val="0"/>
          <w:sz w:val="30"/>
          <w:szCs w:val="30"/>
          <w:lang w:val="en-US" w:eastAsia="zh-CN"/>
        </w:rPr>
        <w:t>（三）单位绩效目标</w:t>
      </w:r>
      <w:bookmarkEnd w:id="45"/>
      <w:bookmarkEnd w:id="46"/>
      <w:bookmarkEnd w:id="47"/>
      <w:bookmarkEnd w:id="48"/>
      <w:bookmarkEnd w:id="49"/>
      <w:bookmarkEnd w:id="50"/>
      <w:bookmarkEnd w:id="51"/>
      <w:bookmarkEnd w:id="52"/>
      <w:bookmarkEnd w:id="53"/>
      <w:bookmarkEnd w:id="54"/>
    </w:p>
    <w:p w14:paraId="00A79DD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55" w:name="_Toc22678"/>
      <w:r>
        <w:rPr>
          <w:rFonts w:hint="eastAsia" w:ascii="仿宋" w:hAnsi="仿宋" w:eastAsia="仿宋" w:cs="仿宋"/>
          <w:snapToGrid w:val="0"/>
          <w:color w:val="000000"/>
          <w:kern w:val="0"/>
          <w:sz w:val="30"/>
          <w:szCs w:val="30"/>
          <w:lang w:val="en-US" w:eastAsia="zh-CN"/>
        </w:rPr>
        <w:t>1.单位中长期目标</w:t>
      </w:r>
      <w:bookmarkEnd w:id="55"/>
    </w:p>
    <w:p w14:paraId="34041DA8">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根据总局监测监管要求和新形势、新业态的发展，结合单位实际情况，健全、完善监测能力和体系建设。根据安全播出要求，探索研发广播和电视信号源比对系统，对中央台、市台、各区台广播电视同步转播工作进行全程监测，保障重要时段广播和电视节目完整转播，对现有广播和电视内容分析系统维护升级，推动语音识别、数据分析、人工智能等在系统中的应用，提高监测效率和准确性，降低人工干预度，为广电相关业务处室的管理提供更全面、精准的数据支撑和技术保障。</w:t>
      </w:r>
    </w:p>
    <w:p w14:paraId="0F48322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56" w:name="_Toc1431"/>
      <w:r>
        <w:rPr>
          <w:rFonts w:hint="eastAsia" w:ascii="仿宋" w:hAnsi="仿宋" w:eastAsia="仿宋" w:cs="仿宋"/>
          <w:snapToGrid w:val="0"/>
          <w:color w:val="000000"/>
          <w:kern w:val="0"/>
          <w:sz w:val="30"/>
          <w:szCs w:val="30"/>
          <w:lang w:val="en-US" w:eastAsia="zh-CN"/>
        </w:rPr>
        <w:t>2.单位年度目标</w:t>
      </w:r>
      <w:bookmarkEnd w:id="56"/>
    </w:p>
    <w:p w14:paraId="761DB686">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根据部门职责与预算安排，本年主要完成绩效目标为：1.做好广播频率、电视频道的监测。2.做好广播、电视广告监测。3.做好互联网视听节目监测。4.做好宾馆酒店视频开办点播业务监测。5.持之以恒做好日常各项系统设备维护工作。</w:t>
      </w:r>
    </w:p>
    <w:p w14:paraId="0E225462">
      <w:pPr>
        <w:pStyle w:val="2"/>
        <w:rPr>
          <w:rFonts w:hint="eastAsia"/>
          <w:lang w:val="en-US" w:eastAsia="zh-CN"/>
        </w:rPr>
      </w:pPr>
    </w:p>
    <w:p w14:paraId="731C86DF">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pPr>
      <w:bookmarkStart w:id="57" w:name="_bookmark4"/>
      <w:bookmarkEnd w:id="57"/>
      <w:bookmarkStart w:id="58" w:name="二、评价结论"/>
      <w:bookmarkEnd w:id="58"/>
      <w:bookmarkStart w:id="59" w:name="_Toc875895412"/>
      <w:bookmarkStart w:id="60" w:name="_Toc2565"/>
      <w:bookmarkStart w:id="61" w:name="_Toc934786075"/>
      <w:bookmarkStart w:id="62" w:name="_Toc1299286398"/>
      <w:bookmarkStart w:id="63" w:name="_Toc521435067"/>
      <w:bookmarkStart w:id="64" w:name="_Toc1304"/>
      <w:bookmarkStart w:id="65" w:name="_Toc17206"/>
      <w:bookmarkStart w:id="66" w:name="_Toc544299575"/>
      <w:bookmarkStart w:id="67" w:name="_Toc2006107077"/>
      <w:bookmarkStart w:id="68" w:name="_Toc235102699"/>
      <w:r>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t>二、评价结论</w:t>
      </w:r>
      <w:bookmarkEnd w:id="59"/>
      <w:bookmarkEnd w:id="60"/>
      <w:bookmarkEnd w:id="61"/>
      <w:bookmarkEnd w:id="62"/>
      <w:bookmarkEnd w:id="63"/>
      <w:bookmarkEnd w:id="64"/>
      <w:bookmarkEnd w:id="65"/>
      <w:bookmarkEnd w:id="66"/>
      <w:bookmarkEnd w:id="67"/>
      <w:bookmarkEnd w:id="68"/>
    </w:p>
    <w:p w14:paraId="09FED49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69" w:name="_bookmark5"/>
      <w:bookmarkEnd w:id="69"/>
      <w:bookmarkStart w:id="70" w:name="（一）评价对象及范围"/>
      <w:bookmarkEnd w:id="70"/>
      <w:bookmarkStart w:id="71" w:name="_Toc173789299"/>
      <w:bookmarkStart w:id="72" w:name="_Toc1492768490"/>
      <w:bookmarkStart w:id="73" w:name="_Toc1910104452"/>
      <w:bookmarkStart w:id="74" w:name="_Toc2025891309"/>
      <w:bookmarkStart w:id="75" w:name="_Toc18931"/>
      <w:bookmarkStart w:id="76" w:name="_Toc2106684720"/>
      <w:bookmarkStart w:id="77" w:name="_Toc1148385239"/>
      <w:bookmarkStart w:id="78" w:name="_Toc1151613"/>
      <w:bookmarkStart w:id="79" w:name="_Toc17311"/>
      <w:bookmarkStart w:id="80" w:name="_Toc12628"/>
      <w:r>
        <w:rPr>
          <w:rFonts w:hint="eastAsia" w:ascii="仿宋" w:hAnsi="仿宋" w:eastAsia="仿宋" w:cs="仿宋"/>
          <w:snapToGrid w:val="0"/>
          <w:color w:val="000000"/>
          <w:kern w:val="0"/>
          <w:sz w:val="30"/>
          <w:szCs w:val="30"/>
          <w:lang w:val="en-US" w:eastAsia="zh-CN"/>
        </w:rPr>
        <w:t>（一）评价对象及范围</w:t>
      </w:r>
      <w:bookmarkEnd w:id="71"/>
      <w:bookmarkEnd w:id="72"/>
      <w:bookmarkEnd w:id="73"/>
      <w:bookmarkEnd w:id="74"/>
      <w:bookmarkEnd w:id="75"/>
      <w:bookmarkEnd w:id="76"/>
      <w:bookmarkEnd w:id="77"/>
      <w:bookmarkEnd w:id="78"/>
      <w:bookmarkEnd w:id="79"/>
      <w:bookmarkEnd w:id="80"/>
    </w:p>
    <w:p w14:paraId="59005C02">
      <w:pPr>
        <w:keepNext w:val="0"/>
        <w:keepLines w:val="0"/>
        <w:pageBreakBefore w:val="0"/>
        <w:widowControl w:val="0"/>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本次整体预算评价的对象为南京市广播电视监测站2023年度单位整体预算（包括基本经费支出和项目经费支出）。绩效评价时段为2023年1月1日至12月31日。</w:t>
      </w:r>
      <w:bookmarkStart w:id="81" w:name="_bookmark6"/>
      <w:bookmarkEnd w:id="81"/>
      <w:bookmarkStart w:id="82" w:name="（二）评价结论"/>
      <w:bookmarkEnd w:id="82"/>
    </w:p>
    <w:p w14:paraId="6EDFAE69">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83" w:name="_Toc1475176284"/>
      <w:bookmarkStart w:id="84" w:name="_Toc27806868"/>
      <w:bookmarkStart w:id="85" w:name="_Toc298988373"/>
      <w:bookmarkStart w:id="86" w:name="_Toc2056047176"/>
      <w:bookmarkStart w:id="87" w:name="_Toc1487200951"/>
      <w:bookmarkStart w:id="88" w:name="_Toc392485761"/>
      <w:bookmarkStart w:id="89" w:name="_Toc28206"/>
      <w:bookmarkStart w:id="90" w:name="_Toc31414"/>
      <w:bookmarkStart w:id="91" w:name="_Toc11933"/>
      <w:bookmarkStart w:id="92" w:name="_Toc802007178"/>
      <w:r>
        <w:rPr>
          <w:rFonts w:hint="eastAsia" w:ascii="仿宋" w:hAnsi="仿宋" w:eastAsia="仿宋" w:cs="仿宋"/>
          <w:snapToGrid w:val="0"/>
          <w:color w:val="000000"/>
          <w:kern w:val="0"/>
          <w:sz w:val="30"/>
          <w:szCs w:val="30"/>
          <w:lang w:val="en-US" w:eastAsia="zh-CN"/>
        </w:rPr>
        <w:t>（二）评价结论</w:t>
      </w:r>
      <w:bookmarkEnd w:id="83"/>
      <w:bookmarkEnd w:id="84"/>
      <w:bookmarkEnd w:id="85"/>
      <w:bookmarkEnd w:id="86"/>
      <w:bookmarkEnd w:id="87"/>
      <w:bookmarkEnd w:id="88"/>
      <w:bookmarkEnd w:id="89"/>
      <w:bookmarkEnd w:id="90"/>
      <w:bookmarkEnd w:id="91"/>
      <w:bookmarkEnd w:id="92"/>
    </w:p>
    <w:p w14:paraId="5EBEF2AB">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2023年，在市文旅局的支持下，经过市广播电视监测站全体人员的共同努力，各项工作圆满完成。</w:t>
      </w:r>
      <w:r>
        <w:rPr>
          <w:rFonts w:hint="eastAsia" w:ascii="仿宋" w:hAnsi="仿宋" w:eastAsia="仿宋" w:cs="仿宋"/>
          <w:snapToGrid w:val="0"/>
          <w:color w:val="000000"/>
          <w:kern w:val="0"/>
          <w:sz w:val="30"/>
          <w:szCs w:val="30"/>
          <w:lang w:val="en-US" w:eastAsia="zh"/>
        </w:rPr>
        <w:t>一是完成</w:t>
      </w:r>
      <w:r>
        <w:rPr>
          <w:rFonts w:hint="eastAsia" w:ascii="仿宋" w:hAnsi="仿宋" w:eastAsia="仿宋" w:cs="仿宋"/>
          <w:snapToGrid w:val="0"/>
          <w:color w:val="000000"/>
          <w:kern w:val="0"/>
          <w:sz w:val="30"/>
          <w:szCs w:val="30"/>
          <w:lang w:val="en-US" w:eastAsia="zh-CN"/>
        </w:rPr>
        <w:t>广播频率、电视频道的监测</w:t>
      </w:r>
      <w:r>
        <w:rPr>
          <w:rFonts w:hint="eastAsia" w:ascii="仿宋" w:hAnsi="仿宋" w:eastAsia="仿宋" w:cs="仿宋"/>
          <w:snapToGrid w:val="0"/>
          <w:color w:val="000000"/>
          <w:kern w:val="0"/>
          <w:sz w:val="30"/>
          <w:szCs w:val="30"/>
          <w:lang w:val="en-US" w:eastAsia="zh"/>
        </w:rPr>
        <w:t>工作</w:t>
      </w:r>
      <w:r>
        <w:rPr>
          <w:rFonts w:hint="eastAsia" w:ascii="仿宋" w:hAnsi="仿宋" w:eastAsia="仿宋" w:cs="仿宋"/>
          <w:snapToGrid w:val="0"/>
          <w:color w:val="000000"/>
          <w:kern w:val="0"/>
          <w:sz w:val="30"/>
          <w:szCs w:val="30"/>
          <w:lang w:val="en-US" w:eastAsia="zh-CN"/>
        </w:rPr>
        <w:t>。</w:t>
      </w:r>
      <w:r>
        <w:rPr>
          <w:rFonts w:hint="eastAsia" w:ascii="仿宋" w:hAnsi="仿宋" w:eastAsia="仿宋" w:cs="仿宋"/>
          <w:snapToGrid w:val="0"/>
          <w:color w:val="000000"/>
          <w:kern w:val="0"/>
          <w:sz w:val="30"/>
          <w:szCs w:val="30"/>
          <w:lang w:val="en-US" w:eastAsia="zh"/>
        </w:rPr>
        <w:t>二是对</w:t>
      </w:r>
      <w:r>
        <w:rPr>
          <w:rFonts w:hint="eastAsia" w:ascii="仿宋" w:hAnsi="仿宋" w:eastAsia="仿宋" w:cs="仿宋"/>
          <w:snapToGrid w:val="0"/>
          <w:color w:val="000000"/>
          <w:kern w:val="0"/>
          <w:sz w:val="30"/>
          <w:szCs w:val="30"/>
          <w:lang w:val="en-US" w:eastAsia="zh-CN"/>
        </w:rPr>
        <w:t>广播、电视广告</w:t>
      </w:r>
      <w:r>
        <w:rPr>
          <w:rFonts w:hint="eastAsia" w:ascii="仿宋" w:hAnsi="仿宋" w:eastAsia="仿宋" w:cs="仿宋"/>
          <w:snapToGrid w:val="0"/>
          <w:color w:val="000000"/>
          <w:kern w:val="0"/>
          <w:sz w:val="30"/>
          <w:szCs w:val="30"/>
          <w:lang w:val="en-US" w:eastAsia="zh"/>
        </w:rPr>
        <w:t>进行</w:t>
      </w:r>
      <w:r>
        <w:rPr>
          <w:rFonts w:hint="eastAsia" w:ascii="仿宋" w:hAnsi="仿宋" w:eastAsia="仿宋" w:cs="仿宋"/>
          <w:snapToGrid w:val="0"/>
          <w:color w:val="000000"/>
          <w:kern w:val="0"/>
          <w:sz w:val="30"/>
          <w:szCs w:val="30"/>
          <w:lang w:val="en-US" w:eastAsia="zh-CN"/>
        </w:rPr>
        <w:t>监测。</w:t>
      </w:r>
      <w:r>
        <w:rPr>
          <w:rFonts w:hint="eastAsia" w:ascii="仿宋" w:hAnsi="仿宋" w:eastAsia="仿宋" w:cs="仿宋"/>
          <w:snapToGrid w:val="0"/>
          <w:color w:val="000000"/>
          <w:kern w:val="0"/>
          <w:sz w:val="30"/>
          <w:szCs w:val="30"/>
          <w:lang w:val="en-US" w:eastAsia="zh"/>
        </w:rPr>
        <w:t>三是</w:t>
      </w:r>
      <w:r>
        <w:rPr>
          <w:rFonts w:hint="eastAsia" w:ascii="仿宋" w:hAnsi="仿宋" w:eastAsia="仿宋" w:cs="仿宋"/>
          <w:snapToGrid w:val="0"/>
          <w:color w:val="000000"/>
          <w:kern w:val="0"/>
          <w:sz w:val="30"/>
          <w:szCs w:val="30"/>
          <w:lang w:val="en-US" w:eastAsia="zh-CN"/>
        </w:rPr>
        <w:t>做好互联网视听节目监测。</w:t>
      </w:r>
      <w:r>
        <w:rPr>
          <w:rFonts w:hint="eastAsia" w:ascii="仿宋" w:hAnsi="仿宋" w:eastAsia="仿宋" w:cs="仿宋"/>
          <w:snapToGrid w:val="0"/>
          <w:color w:val="000000"/>
          <w:kern w:val="0"/>
          <w:sz w:val="30"/>
          <w:szCs w:val="30"/>
          <w:lang w:val="en-US" w:eastAsia="zh"/>
        </w:rPr>
        <w:t>四是对</w:t>
      </w:r>
      <w:r>
        <w:rPr>
          <w:rFonts w:hint="eastAsia" w:ascii="仿宋" w:hAnsi="仿宋" w:eastAsia="仿宋" w:cs="仿宋"/>
          <w:snapToGrid w:val="0"/>
          <w:color w:val="000000"/>
          <w:kern w:val="0"/>
          <w:sz w:val="30"/>
          <w:szCs w:val="30"/>
          <w:lang w:val="en-US" w:eastAsia="zh-CN"/>
        </w:rPr>
        <w:t>宾馆酒店视频开办点播业务</w:t>
      </w:r>
      <w:r>
        <w:rPr>
          <w:rFonts w:hint="eastAsia" w:ascii="仿宋" w:hAnsi="仿宋" w:eastAsia="仿宋" w:cs="仿宋"/>
          <w:snapToGrid w:val="0"/>
          <w:color w:val="000000"/>
          <w:kern w:val="0"/>
          <w:sz w:val="30"/>
          <w:szCs w:val="30"/>
          <w:lang w:val="en-US" w:eastAsia="zh"/>
        </w:rPr>
        <w:t>进行</w:t>
      </w:r>
      <w:r>
        <w:rPr>
          <w:rFonts w:hint="eastAsia" w:ascii="仿宋" w:hAnsi="仿宋" w:eastAsia="仿宋" w:cs="仿宋"/>
          <w:snapToGrid w:val="0"/>
          <w:color w:val="000000"/>
          <w:kern w:val="0"/>
          <w:sz w:val="30"/>
          <w:szCs w:val="30"/>
          <w:lang w:val="en-US" w:eastAsia="zh-CN"/>
        </w:rPr>
        <w:t>监测。</w:t>
      </w:r>
      <w:r>
        <w:rPr>
          <w:rFonts w:hint="eastAsia" w:ascii="仿宋" w:hAnsi="仿宋" w:eastAsia="仿宋" w:cs="仿宋"/>
          <w:snapToGrid w:val="0"/>
          <w:color w:val="000000"/>
          <w:kern w:val="0"/>
          <w:sz w:val="30"/>
          <w:szCs w:val="30"/>
          <w:lang w:val="en-US" w:eastAsia="zh"/>
        </w:rPr>
        <w:t>五是完成</w:t>
      </w:r>
      <w:r>
        <w:rPr>
          <w:rFonts w:hint="eastAsia" w:ascii="仿宋" w:hAnsi="仿宋" w:eastAsia="仿宋" w:cs="仿宋"/>
          <w:snapToGrid w:val="0"/>
          <w:color w:val="000000"/>
          <w:kern w:val="0"/>
          <w:sz w:val="30"/>
          <w:szCs w:val="30"/>
          <w:lang w:val="en-US" w:eastAsia="zh-CN"/>
        </w:rPr>
        <w:t>日常各项系统设备维护工作。但也存在仍需改进之处，如安播短信发送</w:t>
      </w:r>
      <w:r>
        <w:rPr>
          <w:rFonts w:hint="eastAsia" w:ascii="仿宋" w:hAnsi="仿宋" w:eastAsia="仿宋" w:cs="仿宋"/>
          <w:snapToGrid w:val="0"/>
          <w:color w:val="000000"/>
          <w:kern w:val="0"/>
          <w:sz w:val="30"/>
          <w:szCs w:val="30"/>
          <w:lang w:val="en-US" w:eastAsia="zh"/>
        </w:rPr>
        <w:t>预估数量</w:t>
      </w:r>
      <w:r>
        <w:rPr>
          <w:rFonts w:hint="eastAsia" w:ascii="仿宋" w:hAnsi="仿宋" w:eastAsia="仿宋" w:cs="仿宋"/>
          <w:snapToGrid w:val="0"/>
          <w:color w:val="000000"/>
          <w:kern w:val="0"/>
          <w:sz w:val="30"/>
          <w:szCs w:val="30"/>
          <w:lang w:val="en-US" w:eastAsia="zh-CN"/>
        </w:rPr>
        <w:t>安播短信发送</w:t>
      </w:r>
      <w:r>
        <w:rPr>
          <w:rFonts w:hint="eastAsia" w:ascii="仿宋" w:hAnsi="仿宋" w:eastAsia="仿宋" w:cs="仿宋"/>
          <w:snapToGrid w:val="0"/>
          <w:color w:val="000000"/>
          <w:kern w:val="0"/>
          <w:sz w:val="30"/>
          <w:szCs w:val="30"/>
          <w:lang w:val="en-US" w:eastAsia="zh"/>
        </w:rPr>
        <w:t>预估数量未达绩效目标值</w:t>
      </w:r>
      <w:r>
        <w:rPr>
          <w:rFonts w:hint="eastAsia" w:ascii="仿宋" w:hAnsi="仿宋" w:eastAsia="仿宋" w:cs="仿宋"/>
          <w:snapToGrid w:val="0"/>
          <w:color w:val="000000"/>
          <w:kern w:val="0"/>
          <w:sz w:val="30"/>
          <w:szCs w:val="30"/>
          <w:lang w:val="en-US" w:eastAsia="zh-CN"/>
        </w:rPr>
        <w:t>和</w:t>
      </w:r>
      <w:r>
        <w:rPr>
          <w:rFonts w:hint="eastAsia" w:ascii="仿宋" w:hAnsi="仿宋" w:eastAsia="仿宋" w:cs="仿宋"/>
          <w:snapToGrid w:val="0"/>
          <w:color w:val="000000"/>
          <w:sz w:val="30"/>
          <w:szCs w:val="30"/>
          <w:lang w:val="en-US" w:eastAsia="zh-CN"/>
        </w:rPr>
        <w:t>电视广告监测效率仍有待提高</w:t>
      </w:r>
      <w:r>
        <w:rPr>
          <w:rFonts w:hint="eastAsia" w:ascii="仿宋" w:hAnsi="仿宋" w:eastAsia="仿宋" w:cs="仿宋"/>
          <w:snapToGrid w:val="0"/>
          <w:color w:val="000000"/>
          <w:kern w:val="0"/>
          <w:sz w:val="30"/>
          <w:szCs w:val="30"/>
          <w:lang w:val="en-US" w:eastAsia="zh-CN"/>
        </w:rPr>
        <w:t>等。</w:t>
      </w:r>
    </w:p>
    <w:p w14:paraId="7DC3CAA6">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93" w:name="（三）评分结果"/>
      <w:bookmarkEnd w:id="93"/>
      <w:bookmarkStart w:id="94" w:name="_bookmark7"/>
      <w:bookmarkEnd w:id="94"/>
      <w:bookmarkStart w:id="95" w:name="_Toc19046"/>
      <w:bookmarkStart w:id="96" w:name="_Toc589100573"/>
      <w:bookmarkStart w:id="97" w:name="_Toc5007"/>
      <w:bookmarkStart w:id="98" w:name="_Toc1346079077"/>
      <w:bookmarkStart w:id="99" w:name="_Toc28811"/>
      <w:bookmarkStart w:id="100" w:name="_Toc825523155"/>
      <w:bookmarkStart w:id="101" w:name="_Toc1585905190"/>
      <w:bookmarkStart w:id="102" w:name="_Toc824216024"/>
      <w:bookmarkStart w:id="103" w:name="_Toc1727272074"/>
      <w:bookmarkStart w:id="104" w:name="_Toc2133334678"/>
      <w:r>
        <w:rPr>
          <w:rFonts w:hint="eastAsia" w:ascii="仿宋" w:hAnsi="仿宋" w:eastAsia="仿宋" w:cs="仿宋"/>
          <w:snapToGrid w:val="0"/>
          <w:color w:val="000000"/>
          <w:kern w:val="0"/>
          <w:sz w:val="30"/>
          <w:szCs w:val="30"/>
          <w:lang w:val="en-US" w:eastAsia="zh-CN"/>
        </w:rPr>
        <w:t>（三）评分结果</w:t>
      </w:r>
      <w:bookmarkEnd w:id="95"/>
      <w:bookmarkEnd w:id="96"/>
      <w:bookmarkEnd w:id="97"/>
      <w:bookmarkEnd w:id="98"/>
      <w:bookmarkEnd w:id="99"/>
      <w:bookmarkEnd w:id="100"/>
      <w:bookmarkEnd w:id="101"/>
      <w:bookmarkEnd w:id="102"/>
      <w:bookmarkEnd w:id="103"/>
      <w:bookmarkEnd w:id="104"/>
    </w:p>
    <w:p w14:paraId="47D887EB">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绩效评价遵循科学规范、公开公正、绩效相关和问题导向的原则，重点评价部门管理、部门履职以及部门绩效等指标。在此基础上，以相关的数据为基础，综合应用成本效益分析法、因素分析法、比较法和公众评判法等评价方法，结合评价标准和评分规则，2023年度南京市广播电视监测站单位整体预算绩效评价</w:t>
      </w:r>
      <w:r>
        <w:rPr>
          <w:rFonts w:hint="eastAsia" w:ascii="仿宋" w:hAnsi="仿宋" w:eastAsia="仿宋" w:cs="仿宋"/>
          <w:snapToGrid w:val="0"/>
          <w:color w:val="auto"/>
          <w:kern w:val="0"/>
          <w:sz w:val="30"/>
          <w:szCs w:val="30"/>
          <w:lang w:val="en-US" w:eastAsia="zh-CN"/>
        </w:rPr>
        <w:t>综合得分93.85分，等级为“优”</w:t>
      </w:r>
      <w:r>
        <w:rPr>
          <w:rFonts w:hint="eastAsia" w:ascii="仿宋" w:hAnsi="仿宋" w:eastAsia="仿宋" w:cs="仿宋"/>
          <w:snapToGrid w:val="0"/>
          <w:color w:val="000000"/>
          <w:kern w:val="0"/>
          <w:sz w:val="30"/>
          <w:szCs w:val="30"/>
          <w:lang w:val="en-US" w:eastAsia="zh-CN"/>
        </w:rPr>
        <w:t>，详见单位整体预算绩效评价指标体系得分情况表。</w:t>
      </w:r>
    </w:p>
    <w:p w14:paraId="4CBCBF90">
      <w:pPr>
        <w:pStyle w:val="2"/>
        <w:rPr>
          <w:rFonts w:hint="eastAsia"/>
          <w:lang w:val="en-US" w:eastAsia="zh-CN"/>
        </w:rPr>
      </w:pPr>
    </w:p>
    <w:p w14:paraId="5C0119BB">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pPr>
      <w:bookmarkStart w:id="105" w:name="三、部门履职成效"/>
      <w:bookmarkEnd w:id="105"/>
      <w:bookmarkStart w:id="106" w:name="_bookmark8"/>
      <w:bookmarkEnd w:id="106"/>
      <w:bookmarkStart w:id="107" w:name="_Toc1528"/>
      <w:bookmarkStart w:id="108" w:name="_Toc1823306465"/>
      <w:bookmarkStart w:id="109" w:name="_Toc577807572"/>
      <w:bookmarkStart w:id="110" w:name="_Toc15474"/>
      <w:bookmarkStart w:id="111" w:name="_Toc1113717741"/>
      <w:bookmarkStart w:id="112" w:name="_Toc1958309641"/>
      <w:bookmarkStart w:id="113" w:name="_Toc4404"/>
      <w:bookmarkStart w:id="114" w:name="_Toc1329192218"/>
      <w:bookmarkStart w:id="115" w:name="_Toc568962834"/>
      <w:bookmarkStart w:id="116" w:name="_Toc1888985413"/>
      <w:r>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t>三、部门履职成效</w:t>
      </w:r>
      <w:bookmarkEnd w:id="107"/>
      <w:bookmarkEnd w:id="108"/>
      <w:bookmarkEnd w:id="109"/>
      <w:bookmarkEnd w:id="110"/>
      <w:bookmarkEnd w:id="111"/>
      <w:bookmarkEnd w:id="112"/>
      <w:bookmarkEnd w:id="113"/>
      <w:bookmarkEnd w:id="114"/>
      <w:bookmarkEnd w:id="115"/>
      <w:bookmarkEnd w:id="116"/>
    </w:p>
    <w:p w14:paraId="441FF5AA">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w:t>
      </w:r>
      <w:r>
        <w:rPr>
          <w:rFonts w:hint="eastAsia" w:ascii="仿宋" w:hAnsi="仿宋" w:eastAsia="仿宋" w:cs="仿宋"/>
          <w:snapToGrid w:val="0"/>
          <w:color w:val="000000"/>
          <w:kern w:val="0"/>
          <w:sz w:val="30"/>
          <w:szCs w:val="30"/>
          <w:lang w:val="en-US" w:eastAsia="zh"/>
        </w:rPr>
        <w:t>3</w:t>
      </w:r>
      <w:r>
        <w:rPr>
          <w:rFonts w:hint="eastAsia" w:ascii="仿宋" w:hAnsi="仿宋" w:eastAsia="仿宋" w:cs="仿宋"/>
          <w:snapToGrid w:val="0"/>
          <w:color w:val="000000"/>
          <w:kern w:val="0"/>
          <w:sz w:val="30"/>
          <w:szCs w:val="30"/>
          <w:lang w:val="en-US" w:eastAsia="zh-CN"/>
        </w:rPr>
        <w:t>年度，市广播电视监测站紧紧围绕目标管理和绩效考核指标任务，结合自身工作实际，加强组织领导，强化责任落实，有力地推动了各项工作的开展。重点工作完成情况如下：</w:t>
      </w:r>
    </w:p>
    <w:p w14:paraId="243261D5">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117" w:name="（一）圆满完成建党100周年年度安播保障任务"/>
      <w:bookmarkEnd w:id="117"/>
      <w:bookmarkStart w:id="118" w:name="_bookmark9"/>
      <w:bookmarkEnd w:id="118"/>
      <w:bookmarkStart w:id="119" w:name="_Toc29461"/>
      <w:bookmarkStart w:id="120" w:name="_Toc290810870"/>
      <w:bookmarkStart w:id="121" w:name="_Toc1927082690"/>
      <w:bookmarkStart w:id="122" w:name="_Toc1867598212"/>
      <w:bookmarkStart w:id="123" w:name="_Toc17162"/>
      <w:bookmarkStart w:id="124" w:name="_Toc786605735"/>
      <w:bookmarkStart w:id="125" w:name="_Toc975762365"/>
      <w:bookmarkStart w:id="126" w:name="_Toc1961154594"/>
      <w:bookmarkStart w:id="127" w:name="_Toc2599"/>
      <w:bookmarkStart w:id="128" w:name="_Toc1608711832"/>
      <w:r>
        <w:rPr>
          <w:rFonts w:hint="eastAsia" w:ascii="仿宋" w:hAnsi="仿宋" w:eastAsia="仿宋" w:cs="仿宋"/>
          <w:snapToGrid w:val="0"/>
          <w:color w:val="000000"/>
          <w:kern w:val="0"/>
          <w:sz w:val="30"/>
          <w:szCs w:val="30"/>
          <w:lang w:val="en-US" w:eastAsia="zh-CN"/>
        </w:rPr>
        <w:t>（一）</w:t>
      </w:r>
      <w:bookmarkEnd w:id="119"/>
      <w:r>
        <w:rPr>
          <w:rFonts w:hint="eastAsia" w:ascii="仿宋" w:hAnsi="仿宋" w:eastAsia="仿宋" w:cs="仿宋"/>
          <w:snapToGrid w:val="0"/>
          <w:color w:val="000000"/>
          <w:kern w:val="0"/>
          <w:sz w:val="30"/>
          <w:szCs w:val="30"/>
          <w:lang w:val="en-US" w:eastAsia="zh-CN"/>
        </w:rPr>
        <w:t>监测手段不断创新</w:t>
      </w:r>
      <w:bookmarkEnd w:id="120"/>
      <w:bookmarkEnd w:id="121"/>
      <w:bookmarkEnd w:id="122"/>
      <w:bookmarkEnd w:id="123"/>
      <w:bookmarkEnd w:id="124"/>
      <w:bookmarkEnd w:id="125"/>
      <w:bookmarkEnd w:id="126"/>
      <w:bookmarkEnd w:id="127"/>
      <w:bookmarkEnd w:id="128"/>
    </w:p>
    <w:p w14:paraId="5328CC18">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bookmarkStart w:id="129" w:name="（二）加强广播电视广告监管力度"/>
      <w:bookmarkEnd w:id="129"/>
      <w:bookmarkStart w:id="130" w:name="_bookmark10"/>
      <w:bookmarkEnd w:id="130"/>
      <w:r>
        <w:rPr>
          <w:rFonts w:hint="eastAsia" w:ascii="仿宋" w:hAnsi="仿宋" w:eastAsia="仿宋" w:cs="仿宋"/>
          <w:snapToGrid w:val="0"/>
          <w:color w:val="000000"/>
          <w:kern w:val="0"/>
          <w:sz w:val="30"/>
          <w:szCs w:val="30"/>
          <w:lang w:val="en-US" w:eastAsia="zh-CN"/>
        </w:rPr>
        <w:t>2023年监测站对广播和电视内容分析系统进行了优化升级，既实现了对电视节目中敏感人物进行分析、识别、预警、统计功能，实时更新敏感人物特征库。也实现广播录音自动转写功能，通过AI知识库实现敏感内容、特定内容预警和提取，并通过人工质检辅助实现广播内容违规统计并生成统计报表。同时，监测站依托专业监测服务平台，系统对全市16家属地持证网站和APP进行了全天候监测，自动侦测并处理了数百条涉政、涉黄、涉暴恐等违法违规内容。此外，监测站采购上线了广播电视信号源比对分析专用设备，与现有的广播电视监测系统功能相适配，采集7套电视节目和6套广播节目信号源进行比对分析，实现异态发现、实时报警、界面展示、统计分析、录像回放等功能。</w:t>
      </w:r>
    </w:p>
    <w:p w14:paraId="3EBC631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131" w:name="_Toc23234"/>
      <w:bookmarkStart w:id="132" w:name="_Toc2132995165"/>
      <w:bookmarkStart w:id="133" w:name="_Toc21051"/>
      <w:bookmarkStart w:id="134" w:name="_Toc10843"/>
      <w:bookmarkStart w:id="135" w:name="_Toc800644694"/>
      <w:bookmarkStart w:id="136" w:name="_Toc1546247202"/>
      <w:bookmarkStart w:id="137" w:name="_Toc130406776"/>
      <w:bookmarkStart w:id="138" w:name="_Toc573257213"/>
      <w:bookmarkStart w:id="139" w:name="_Toc1102164532"/>
      <w:bookmarkStart w:id="140" w:name="_Toc1452940063"/>
      <w:r>
        <w:rPr>
          <w:rFonts w:hint="eastAsia" w:ascii="仿宋" w:hAnsi="仿宋" w:eastAsia="仿宋" w:cs="仿宋"/>
          <w:snapToGrid w:val="0"/>
          <w:color w:val="000000"/>
          <w:kern w:val="0"/>
          <w:sz w:val="30"/>
          <w:szCs w:val="30"/>
          <w:lang w:val="en-US" w:eastAsia="zh-CN"/>
        </w:rPr>
        <w:t>（二）</w:t>
      </w:r>
      <w:bookmarkEnd w:id="131"/>
      <w:r>
        <w:rPr>
          <w:rFonts w:hint="eastAsia" w:ascii="仿宋" w:hAnsi="仿宋" w:eastAsia="仿宋" w:cs="仿宋"/>
          <w:snapToGrid w:val="0"/>
          <w:color w:val="000000"/>
          <w:kern w:val="0"/>
          <w:sz w:val="30"/>
          <w:szCs w:val="30"/>
          <w:lang w:val="en-US" w:eastAsia="zh-CN"/>
        </w:rPr>
        <w:t>系统运行安全稳定</w:t>
      </w:r>
      <w:bookmarkEnd w:id="132"/>
      <w:bookmarkEnd w:id="133"/>
      <w:bookmarkEnd w:id="134"/>
      <w:bookmarkEnd w:id="135"/>
      <w:bookmarkEnd w:id="136"/>
      <w:bookmarkEnd w:id="137"/>
      <w:bookmarkEnd w:id="138"/>
      <w:bookmarkEnd w:id="139"/>
      <w:bookmarkEnd w:id="140"/>
    </w:p>
    <w:p w14:paraId="71759FBE">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default" w:ascii="仿宋" w:hAnsi="仿宋" w:eastAsia="仿宋" w:cs="仿宋"/>
          <w:snapToGrid w:val="0"/>
          <w:color w:val="000000"/>
          <w:kern w:val="0"/>
          <w:sz w:val="30"/>
          <w:szCs w:val="30"/>
          <w:lang w:val="en-US" w:eastAsia="zh-CN"/>
        </w:rPr>
      </w:pPr>
      <w:bookmarkStart w:id="141" w:name="_bookmark11"/>
      <w:bookmarkEnd w:id="141"/>
      <w:bookmarkStart w:id="142" w:name="（三）强化各项日常监测工作"/>
      <w:bookmarkEnd w:id="142"/>
      <w:r>
        <w:rPr>
          <w:rFonts w:hint="eastAsia" w:ascii="仿宋" w:hAnsi="仿宋" w:eastAsia="仿宋" w:cs="仿宋"/>
          <w:snapToGrid w:val="0"/>
          <w:color w:val="000000"/>
          <w:kern w:val="0"/>
          <w:sz w:val="30"/>
          <w:szCs w:val="30"/>
          <w:lang w:val="en-US" w:eastAsia="zh-CN"/>
        </w:rPr>
        <w:t>首先，监测站根据新修订的《安全生产工作指导手册》，修订了10项安全生产制度，并加强了UPS供电系统的维护，以应对南京夏季的雷暴天气。其次，每季度进行网络安全巡检，确保机房网络安全。第三，严格落实日常检查制度，上半年进行了7次区台巡查、10次节假日及安播期前检查、5次机房精密空调巡查和3次网络安全巡检，并上报了34条隐患排查线索。最后，在“安全生产月”期间，监测站开展了UPS电源和灭火应急演练，以及参与多项安全播出和消防应急演练，提升了员工的应急处理能力。</w:t>
      </w:r>
    </w:p>
    <w:p w14:paraId="1DD35CF1">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143" w:name="_Toc12575"/>
      <w:bookmarkStart w:id="144" w:name="_Toc2032833949"/>
      <w:bookmarkStart w:id="145" w:name="_Toc1122338449"/>
      <w:bookmarkStart w:id="146" w:name="_Toc1077111667"/>
      <w:bookmarkStart w:id="147" w:name="_Toc1313364292"/>
      <w:bookmarkStart w:id="148" w:name="_Toc20521"/>
      <w:bookmarkStart w:id="149" w:name="_Toc302839956"/>
      <w:bookmarkStart w:id="150" w:name="_Toc1305218784"/>
      <w:bookmarkStart w:id="151" w:name="_Toc527088804"/>
      <w:bookmarkStart w:id="152" w:name="_Toc18051"/>
      <w:r>
        <w:rPr>
          <w:rFonts w:hint="eastAsia" w:ascii="仿宋" w:hAnsi="仿宋" w:eastAsia="仿宋" w:cs="仿宋"/>
          <w:snapToGrid w:val="0"/>
          <w:color w:val="000000"/>
          <w:kern w:val="0"/>
          <w:sz w:val="30"/>
          <w:szCs w:val="30"/>
          <w:lang w:val="en-US" w:eastAsia="zh-CN"/>
        </w:rPr>
        <w:t>（三）</w:t>
      </w:r>
      <w:bookmarkEnd w:id="143"/>
      <w:r>
        <w:rPr>
          <w:rFonts w:hint="eastAsia" w:ascii="仿宋" w:hAnsi="仿宋" w:eastAsia="仿宋" w:cs="仿宋"/>
          <w:snapToGrid w:val="0"/>
          <w:color w:val="000000"/>
          <w:kern w:val="0"/>
          <w:sz w:val="30"/>
          <w:szCs w:val="30"/>
          <w:lang w:val="en-US" w:eastAsia="zh-CN"/>
        </w:rPr>
        <w:t>安全播出保障到位</w:t>
      </w:r>
      <w:bookmarkEnd w:id="144"/>
      <w:bookmarkEnd w:id="145"/>
      <w:bookmarkEnd w:id="146"/>
      <w:bookmarkEnd w:id="147"/>
      <w:bookmarkEnd w:id="148"/>
      <w:bookmarkEnd w:id="149"/>
      <w:bookmarkEnd w:id="150"/>
      <w:bookmarkEnd w:id="151"/>
      <w:bookmarkEnd w:id="152"/>
    </w:p>
    <w:p w14:paraId="12D377D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bookmarkStart w:id="153" w:name="四、存在问题及原因分析"/>
      <w:bookmarkEnd w:id="153"/>
      <w:bookmarkStart w:id="154" w:name="_bookmark12"/>
      <w:bookmarkEnd w:id="154"/>
      <w:bookmarkStart w:id="155" w:name="_Toc294897102"/>
      <w:bookmarkStart w:id="156" w:name="_Toc266648583"/>
      <w:bookmarkStart w:id="157" w:name="_Toc30348"/>
      <w:r>
        <w:rPr>
          <w:rFonts w:hint="eastAsia" w:ascii="仿宋" w:hAnsi="仿宋" w:eastAsia="仿宋" w:cs="仿宋"/>
          <w:snapToGrid w:val="0"/>
          <w:color w:val="000000"/>
          <w:kern w:val="0"/>
          <w:sz w:val="30"/>
          <w:szCs w:val="30"/>
          <w:lang w:val="en-US" w:eastAsia="zh-CN"/>
        </w:rPr>
        <w:t>监测站全力保障全市广播电视安全播出，坚持全年无休值班，人均年值班近40天。在重要安播期如春节、全国两会、大运会、亚运会等，监测站迅速转发安播预警信息，全年共发送150余次，总量超过10,000条。重保期前，监测站均提前召开部署会，排查隐患，全方位准备技术保障，并紧密配合局机关确保广播电视安全播出。全年以严谨负责的态度，圆满完成了各项重要广播电视安全播出保障任务。</w:t>
      </w:r>
      <w:bookmarkEnd w:id="155"/>
      <w:bookmarkEnd w:id="156"/>
    </w:p>
    <w:p w14:paraId="0EC8AD79">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158" w:name="_Toc1876126706"/>
      <w:bookmarkStart w:id="159" w:name="_Toc2090819685"/>
      <w:bookmarkStart w:id="160" w:name="_Toc1793440742"/>
      <w:bookmarkStart w:id="161" w:name="_Toc411484953"/>
      <w:bookmarkStart w:id="162" w:name="_Toc22158"/>
      <w:bookmarkStart w:id="163" w:name="_Toc1911846839"/>
      <w:bookmarkStart w:id="164" w:name="_Toc25072"/>
      <w:bookmarkStart w:id="165" w:name="_Toc1522840720"/>
      <w:bookmarkStart w:id="166" w:name="_Toc1876731778"/>
      <w:r>
        <w:rPr>
          <w:rFonts w:hint="eastAsia" w:ascii="仿宋" w:hAnsi="仿宋" w:eastAsia="仿宋" w:cs="仿宋"/>
          <w:snapToGrid w:val="0"/>
          <w:color w:val="000000"/>
          <w:kern w:val="0"/>
          <w:sz w:val="30"/>
          <w:szCs w:val="30"/>
          <w:lang w:val="en-US" w:eastAsia="zh-CN"/>
        </w:rPr>
        <w:t>（四）</w:t>
      </w:r>
      <w:bookmarkEnd w:id="157"/>
      <w:r>
        <w:rPr>
          <w:rFonts w:hint="eastAsia" w:ascii="仿宋" w:hAnsi="仿宋" w:eastAsia="仿宋" w:cs="仿宋"/>
          <w:snapToGrid w:val="0"/>
          <w:color w:val="000000"/>
          <w:kern w:val="0"/>
          <w:sz w:val="30"/>
          <w:szCs w:val="30"/>
          <w:lang w:val="en-US" w:eastAsia="zh-CN"/>
        </w:rPr>
        <w:t>日常监测持续推进</w:t>
      </w:r>
      <w:bookmarkEnd w:id="158"/>
      <w:bookmarkEnd w:id="159"/>
      <w:bookmarkEnd w:id="160"/>
      <w:bookmarkEnd w:id="161"/>
      <w:bookmarkEnd w:id="162"/>
      <w:bookmarkEnd w:id="163"/>
      <w:bookmarkEnd w:id="164"/>
      <w:bookmarkEnd w:id="165"/>
      <w:bookmarkEnd w:id="166"/>
    </w:p>
    <w:p w14:paraId="359EF47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监测站每日对市、区两级频率频道、转播节目、开路电视、地面数字电视等进行传输质量监测，每天三次对全市的10个黑广播监测点进行监听。2023年全年广播、电视发布公益广告150,123条次，商业广告496,085条次，涉嫌违规289条次，总违规率为4.47‱。广播发布公益及商业广告163,421条次，涉嫌违规159条次，总违规率为9.73‱。电视发布公益及商业广告482,787条次，涉嫌违规130条次，总违规率为2.69‱。未发现“软色情”等低俗庸俗媚俗广告。</w:t>
      </w:r>
    </w:p>
    <w:p w14:paraId="57C3E645">
      <w:pPr>
        <w:pStyle w:val="2"/>
        <w:rPr>
          <w:rFonts w:hint="default"/>
          <w:lang w:val="en-US" w:eastAsia="zh-CN"/>
        </w:rPr>
      </w:pPr>
    </w:p>
    <w:p w14:paraId="31BFCCFF">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pPr>
      <w:bookmarkStart w:id="167" w:name="_Toc2138669357"/>
      <w:bookmarkStart w:id="168" w:name="_Toc673876094"/>
      <w:bookmarkStart w:id="169" w:name="_Toc1759496659"/>
      <w:bookmarkStart w:id="170" w:name="_Toc10054"/>
      <w:bookmarkStart w:id="171" w:name="_Toc1131529934"/>
      <w:bookmarkStart w:id="172" w:name="_Toc278081502"/>
      <w:bookmarkStart w:id="173" w:name="_Toc31430"/>
      <w:bookmarkStart w:id="174" w:name="_Toc559158841"/>
      <w:bookmarkStart w:id="175" w:name="_Toc930261731"/>
      <w:bookmarkStart w:id="176" w:name="_Toc19821"/>
      <w:r>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t>四、存在问题及原因分析</w:t>
      </w:r>
      <w:bookmarkEnd w:id="167"/>
      <w:bookmarkEnd w:id="168"/>
      <w:bookmarkEnd w:id="169"/>
      <w:bookmarkEnd w:id="170"/>
      <w:bookmarkEnd w:id="171"/>
      <w:bookmarkEnd w:id="172"/>
      <w:bookmarkEnd w:id="173"/>
      <w:bookmarkEnd w:id="174"/>
      <w:bookmarkEnd w:id="175"/>
      <w:bookmarkEnd w:id="176"/>
      <w:bookmarkStart w:id="177" w:name="（一）个别绩效指标及指标值设置不够合理"/>
      <w:bookmarkEnd w:id="177"/>
      <w:bookmarkStart w:id="178" w:name="_bookmark13"/>
      <w:bookmarkEnd w:id="178"/>
      <w:bookmarkStart w:id="179" w:name="_Toc5116"/>
    </w:p>
    <w:p w14:paraId="3D83BC01">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
        </w:rPr>
      </w:pPr>
      <w:bookmarkStart w:id="180" w:name="_Toc1010528623"/>
      <w:bookmarkStart w:id="181" w:name="_Toc1655906553"/>
      <w:bookmarkStart w:id="182" w:name="_Toc791388242"/>
      <w:bookmarkStart w:id="183" w:name="_Toc34599613"/>
      <w:bookmarkStart w:id="184" w:name="_Toc20"/>
      <w:bookmarkStart w:id="185" w:name="_Toc394201415"/>
      <w:bookmarkStart w:id="186" w:name="_Toc1227962757"/>
      <w:bookmarkStart w:id="187" w:name="_Toc6757580"/>
      <w:bookmarkStart w:id="188" w:name="_Toc26975"/>
      <w:r>
        <w:rPr>
          <w:rFonts w:hint="eastAsia" w:ascii="仿宋" w:hAnsi="仿宋" w:eastAsia="仿宋" w:cs="仿宋"/>
          <w:snapToGrid w:val="0"/>
          <w:color w:val="000000"/>
          <w:kern w:val="0"/>
          <w:sz w:val="30"/>
          <w:szCs w:val="30"/>
          <w:lang w:val="en-US" w:eastAsia="zh-CN"/>
        </w:rPr>
        <w:t>（一）安播短信发送</w:t>
      </w:r>
      <w:bookmarkEnd w:id="180"/>
      <w:bookmarkEnd w:id="181"/>
      <w:bookmarkEnd w:id="182"/>
      <w:r>
        <w:rPr>
          <w:rFonts w:hint="eastAsia" w:ascii="仿宋" w:hAnsi="仿宋" w:eastAsia="仿宋" w:cs="仿宋"/>
          <w:snapToGrid w:val="0"/>
          <w:color w:val="000000"/>
          <w:kern w:val="0"/>
          <w:sz w:val="30"/>
          <w:szCs w:val="30"/>
          <w:lang w:val="en-US" w:eastAsia="zh"/>
        </w:rPr>
        <w:t>预估数量未达绩效目标值</w:t>
      </w:r>
      <w:bookmarkEnd w:id="183"/>
      <w:bookmarkEnd w:id="184"/>
      <w:bookmarkEnd w:id="185"/>
      <w:bookmarkEnd w:id="186"/>
      <w:bookmarkEnd w:id="187"/>
      <w:bookmarkEnd w:id="188"/>
    </w:p>
    <w:p w14:paraId="75E4612C">
      <w:pPr>
        <w:widowControl/>
        <w:adjustRightInd w:val="0"/>
        <w:snapToGrid w:val="0"/>
        <w:spacing w:before="0" w:line="360" w:lineRule="auto"/>
        <w:ind w:left="34" w:firstLine="629"/>
        <w:jc w:val="both"/>
        <w:textAlignment w:val="baseline"/>
        <w:outlineLvl w:val="9"/>
        <w:rPr>
          <w:rFonts w:hint="eastAsia" w:ascii="仿宋" w:hAnsi="仿宋" w:eastAsia="仿宋" w:cs="仿宋"/>
          <w:snapToGrid w:val="0"/>
          <w:color w:val="000000"/>
          <w:sz w:val="30"/>
          <w:szCs w:val="30"/>
          <w:lang w:val="en-US" w:eastAsia="zh"/>
        </w:rPr>
      </w:pPr>
      <w:r>
        <w:rPr>
          <w:rFonts w:hint="eastAsia" w:ascii="仿宋" w:hAnsi="仿宋" w:eastAsia="仿宋" w:cs="仿宋"/>
          <w:snapToGrid w:val="0"/>
          <w:color w:val="000000"/>
          <w:kern w:val="0"/>
          <w:sz w:val="30"/>
          <w:szCs w:val="30"/>
        </w:rPr>
        <w:t>保障全市广播电视的安全播出是监测站最重要的一项工作</w:t>
      </w:r>
      <w:r>
        <w:rPr>
          <w:rFonts w:hint="eastAsia" w:ascii="仿宋" w:hAnsi="仿宋" w:eastAsia="仿宋" w:cs="仿宋"/>
          <w:snapToGrid w:val="0"/>
          <w:color w:val="000000"/>
          <w:kern w:val="0"/>
          <w:sz w:val="30"/>
          <w:szCs w:val="30"/>
          <w:lang w:eastAsia="zh-CN"/>
        </w:rPr>
        <w:t>，</w:t>
      </w:r>
      <w:r>
        <w:rPr>
          <w:rFonts w:hint="eastAsia" w:ascii="仿宋" w:hAnsi="仿宋" w:eastAsia="仿宋" w:cs="仿宋"/>
          <w:snapToGrid w:val="0"/>
          <w:color w:val="000000"/>
          <w:sz w:val="30"/>
          <w:szCs w:val="30"/>
          <w:lang w:val="en-US" w:eastAsia="zh-CN"/>
        </w:rPr>
        <w:t>其中安播短信的发送作为保障信息及时传达的关键环节，其重要性不言而喻。根据</w:t>
      </w:r>
      <w:r>
        <w:rPr>
          <w:rFonts w:hint="eastAsia" w:ascii="仿宋" w:hAnsi="仿宋" w:eastAsia="仿宋" w:cs="仿宋"/>
          <w:snapToGrid w:val="0"/>
          <w:color w:val="000000"/>
          <w:sz w:val="30"/>
          <w:szCs w:val="30"/>
          <w:lang w:val="en-US" w:eastAsia="zh"/>
        </w:rPr>
        <w:t>年初</w:t>
      </w:r>
      <w:r>
        <w:rPr>
          <w:rFonts w:hint="eastAsia" w:ascii="仿宋" w:hAnsi="仿宋" w:eastAsia="仿宋" w:cs="仿宋"/>
          <w:snapToGrid w:val="0"/>
          <w:color w:val="000000"/>
          <w:sz w:val="30"/>
          <w:szCs w:val="30"/>
          <w:lang w:val="en-US" w:eastAsia="zh-CN"/>
        </w:rPr>
        <w:t>设定的绩效目标，监测站计划全年发送安播短信条数应达到或超过1万条。然而，在实际执行过程中，尽管监测站努力完成了广播频率、全市广播和电视广告监测条次等指标，但2023年安播短信的发送数量为“9,083条”，</w:t>
      </w:r>
      <w:r>
        <w:rPr>
          <w:rFonts w:hint="eastAsia" w:ascii="仿宋" w:hAnsi="仿宋" w:eastAsia="仿宋" w:cs="仿宋"/>
          <w:snapToGrid w:val="0"/>
          <w:color w:val="000000"/>
          <w:sz w:val="30"/>
          <w:szCs w:val="30"/>
          <w:lang w:val="en-US" w:eastAsia="zh"/>
        </w:rPr>
        <w:t>仍</w:t>
      </w:r>
      <w:r>
        <w:rPr>
          <w:rFonts w:hint="eastAsia" w:ascii="仿宋" w:hAnsi="仿宋" w:eastAsia="仿宋" w:cs="仿宋"/>
          <w:snapToGrid w:val="0"/>
          <w:color w:val="000000"/>
          <w:sz w:val="30"/>
          <w:szCs w:val="30"/>
          <w:lang w:val="en-US" w:eastAsia="zh-CN"/>
        </w:rPr>
        <w:t>未能达到预定的目标。</w:t>
      </w:r>
      <w:r>
        <w:rPr>
          <w:rFonts w:hint="eastAsia" w:ascii="仿宋" w:hAnsi="仿宋" w:eastAsia="仿宋" w:cs="仿宋"/>
          <w:snapToGrid w:val="0"/>
          <w:color w:val="000000"/>
          <w:sz w:val="30"/>
          <w:szCs w:val="30"/>
          <w:lang w:val="en-US" w:eastAsia="zh"/>
        </w:rPr>
        <w:t>主要原因为2022年是党的二十大召开的关键年份，安播短信发送数量较多，广播监测站在预估2023年安播短信发送数量时未充分考虑到每年实际工作中的变化，导致绩效目标未能实现。</w:t>
      </w:r>
    </w:p>
    <w:p w14:paraId="3EA86333">
      <w:pPr>
        <w:widowControl/>
        <w:adjustRightInd w:val="0"/>
        <w:snapToGrid w:val="0"/>
        <w:spacing w:before="0" w:line="360" w:lineRule="auto"/>
        <w:ind w:left="34" w:firstLine="629"/>
        <w:jc w:val="both"/>
        <w:textAlignment w:val="baseline"/>
        <w:outlineLvl w:val="1"/>
        <w:rPr>
          <w:rFonts w:hint="eastAsia" w:ascii="仿宋" w:hAnsi="仿宋" w:eastAsia="仿宋" w:cs="仿宋"/>
          <w:snapToGrid w:val="0"/>
          <w:color w:val="000000"/>
          <w:sz w:val="30"/>
          <w:szCs w:val="30"/>
          <w:lang w:val="en-US" w:eastAsia="zh-CN"/>
        </w:rPr>
      </w:pPr>
      <w:bookmarkStart w:id="189" w:name="_Toc1965352932"/>
      <w:bookmarkStart w:id="190" w:name="_Toc356130910"/>
      <w:bookmarkStart w:id="191" w:name="_Toc1695111001"/>
      <w:bookmarkStart w:id="192" w:name="_Toc1985948874"/>
      <w:bookmarkStart w:id="193" w:name="_Toc29501"/>
      <w:bookmarkStart w:id="194" w:name="_Toc1052209229"/>
      <w:bookmarkStart w:id="195" w:name="_Toc1905497416"/>
      <w:bookmarkStart w:id="196" w:name="_Toc4534"/>
      <w:bookmarkStart w:id="197" w:name="_Toc758909302"/>
      <w:r>
        <w:rPr>
          <w:rFonts w:hint="eastAsia" w:ascii="仿宋" w:hAnsi="仿宋" w:eastAsia="仿宋" w:cs="仿宋"/>
          <w:snapToGrid w:val="0"/>
          <w:color w:val="000000"/>
          <w:sz w:val="30"/>
          <w:szCs w:val="30"/>
          <w:lang w:val="en-US" w:eastAsia="zh"/>
        </w:rPr>
        <w:t>（二）</w:t>
      </w:r>
      <w:r>
        <w:rPr>
          <w:rFonts w:hint="eastAsia" w:ascii="仿宋" w:hAnsi="仿宋" w:eastAsia="仿宋" w:cs="仿宋"/>
          <w:snapToGrid w:val="0"/>
          <w:color w:val="000000"/>
          <w:sz w:val="30"/>
          <w:szCs w:val="30"/>
          <w:lang w:val="en-US" w:eastAsia="zh-CN"/>
        </w:rPr>
        <w:t>电视广告监测效率仍有待提高</w:t>
      </w:r>
      <w:bookmarkEnd w:id="189"/>
      <w:bookmarkEnd w:id="190"/>
      <w:bookmarkEnd w:id="191"/>
      <w:bookmarkEnd w:id="192"/>
      <w:bookmarkEnd w:id="193"/>
      <w:bookmarkEnd w:id="194"/>
      <w:bookmarkEnd w:id="195"/>
      <w:bookmarkEnd w:id="196"/>
      <w:bookmarkEnd w:id="197"/>
    </w:p>
    <w:p w14:paraId="6952203B">
      <w:pPr>
        <w:widowControl/>
        <w:adjustRightInd w:val="0"/>
        <w:snapToGrid w:val="0"/>
        <w:spacing w:line="360" w:lineRule="auto"/>
        <w:ind w:left="34" w:firstLine="629"/>
        <w:jc w:val="both"/>
        <w:textAlignment w:val="baseline"/>
        <w:outlineLvl w:val="9"/>
        <w:rPr>
          <w:rFonts w:hint="eastAsia" w:ascii="仿宋" w:hAnsi="仿宋" w:eastAsia="仿宋" w:cs="仿宋"/>
          <w:snapToGrid w:val="0"/>
          <w:color w:val="000000"/>
          <w:sz w:val="30"/>
          <w:szCs w:val="30"/>
          <w:lang w:val="en-US" w:eastAsia="zh"/>
        </w:rPr>
      </w:pPr>
      <w:r>
        <w:rPr>
          <w:rFonts w:hint="eastAsia" w:ascii="仿宋" w:hAnsi="仿宋" w:eastAsia="仿宋" w:cs="仿宋"/>
          <w:snapToGrid w:val="0"/>
          <w:color w:val="000000"/>
          <w:sz w:val="30"/>
          <w:szCs w:val="30"/>
          <w:lang w:val="en-US" w:eastAsia="zh-CN"/>
        </w:rPr>
        <w:t>广播监测站对南京市区两级电视播出的电视广告仍然采用的是人工监测，对各电视频道进行人工抽查，监测效率</w:t>
      </w:r>
      <w:r>
        <w:rPr>
          <w:rFonts w:hint="eastAsia" w:ascii="仿宋" w:hAnsi="仿宋" w:eastAsia="仿宋" w:cs="仿宋"/>
          <w:snapToGrid w:val="0"/>
          <w:color w:val="000000"/>
          <w:sz w:val="30"/>
          <w:szCs w:val="30"/>
          <w:lang w:val="en-US" w:eastAsia="zh"/>
        </w:rPr>
        <w:t>较低。</w:t>
      </w:r>
      <w:r>
        <w:rPr>
          <w:rFonts w:hint="eastAsia" w:ascii="仿宋" w:hAnsi="仿宋" w:eastAsia="仿宋" w:cs="仿宋"/>
          <w:snapToGrid w:val="0"/>
          <w:color w:val="000000"/>
          <w:sz w:val="30"/>
          <w:szCs w:val="30"/>
          <w:lang w:val="en-US" w:eastAsia="zh-CN"/>
        </w:rPr>
        <w:t>人工监测</w:t>
      </w:r>
      <w:r>
        <w:rPr>
          <w:rFonts w:hint="eastAsia" w:ascii="仿宋" w:hAnsi="仿宋" w:eastAsia="仿宋" w:cs="仿宋"/>
          <w:snapToGrid w:val="0"/>
          <w:color w:val="000000"/>
          <w:sz w:val="30"/>
          <w:szCs w:val="30"/>
          <w:lang w:val="en-US" w:eastAsia="zh"/>
        </w:rPr>
        <w:t>一是存在</w:t>
      </w:r>
      <w:r>
        <w:rPr>
          <w:rFonts w:hint="eastAsia" w:ascii="仿宋" w:hAnsi="仿宋" w:eastAsia="仿宋" w:cs="仿宋"/>
          <w:snapToGrid w:val="0"/>
          <w:color w:val="000000"/>
          <w:sz w:val="30"/>
          <w:szCs w:val="30"/>
          <w:lang w:val="en-US" w:eastAsia="zh-CN"/>
        </w:rPr>
        <w:t>消耗人力，</w:t>
      </w:r>
      <w:r>
        <w:rPr>
          <w:rFonts w:hint="eastAsia" w:ascii="仿宋" w:hAnsi="仿宋" w:eastAsia="仿宋" w:cs="仿宋"/>
          <w:snapToGrid w:val="0"/>
          <w:color w:val="000000"/>
          <w:sz w:val="30"/>
          <w:szCs w:val="30"/>
          <w:lang w:val="en-US" w:eastAsia="zh"/>
        </w:rPr>
        <w:t>人力成本较高，</w:t>
      </w:r>
      <w:r>
        <w:rPr>
          <w:rFonts w:hint="eastAsia" w:ascii="仿宋" w:hAnsi="仿宋" w:eastAsia="仿宋" w:cs="仿宋"/>
          <w:snapToGrid w:val="0"/>
          <w:color w:val="000000"/>
          <w:sz w:val="30"/>
          <w:szCs w:val="30"/>
          <w:lang w:val="en-US" w:eastAsia="zh-CN"/>
        </w:rPr>
        <w:t>难以做到全天候多频道实时监测</w:t>
      </w:r>
      <w:r>
        <w:rPr>
          <w:rFonts w:hint="eastAsia" w:ascii="仿宋" w:hAnsi="仿宋" w:eastAsia="仿宋" w:cs="仿宋"/>
          <w:snapToGrid w:val="0"/>
          <w:color w:val="000000"/>
          <w:sz w:val="30"/>
          <w:szCs w:val="30"/>
          <w:lang w:val="en-US" w:eastAsia="zh"/>
        </w:rPr>
        <w:t>；二是人工监测</w:t>
      </w:r>
      <w:r>
        <w:rPr>
          <w:rFonts w:hint="eastAsia" w:ascii="仿宋" w:hAnsi="仿宋" w:eastAsia="仿宋" w:cs="仿宋"/>
          <w:snapToGrid w:val="0"/>
          <w:color w:val="000000"/>
          <w:sz w:val="30"/>
          <w:szCs w:val="30"/>
          <w:lang w:val="en-US" w:eastAsia="zh-CN"/>
        </w:rPr>
        <w:t>可能存在遗漏、难以及时复核监测成果</w:t>
      </w:r>
      <w:r>
        <w:rPr>
          <w:rFonts w:hint="eastAsia" w:ascii="仿宋" w:hAnsi="仿宋" w:eastAsia="仿宋" w:cs="仿宋"/>
          <w:snapToGrid w:val="0"/>
          <w:color w:val="000000"/>
          <w:sz w:val="30"/>
          <w:szCs w:val="30"/>
          <w:lang w:val="en-US" w:eastAsia="zh"/>
        </w:rPr>
        <w:t>、统计监测数据不方便</w:t>
      </w:r>
      <w:r>
        <w:rPr>
          <w:rFonts w:hint="eastAsia" w:ascii="仿宋" w:hAnsi="仿宋" w:eastAsia="仿宋" w:cs="仿宋"/>
          <w:snapToGrid w:val="0"/>
          <w:color w:val="000000"/>
          <w:sz w:val="30"/>
          <w:szCs w:val="30"/>
          <w:lang w:val="en-US" w:eastAsia="zh-CN"/>
        </w:rPr>
        <w:t>等问题。</w:t>
      </w:r>
    </w:p>
    <w:p w14:paraId="50BA7303">
      <w:pPr>
        <w:rPr>
          <w:rFonts w:hint="eastAsia"/>
          <w:lang w:val="en-US" w:eastAsia="zh"/>
        </w:rPr>
      </w:pPr>
    </w:p>
    <w:bookmarkEnd w:id="179"/>
    <w:p w14:paraId="43F71C43">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pPr>
      <w:bookmarkStart w:id="198" w:name="_Toc20961"/>
      <w:bookmarkStart w:id="199" w:name="_Toc1212532705"/>
      <w:bookmarkStart w:id="200" w:name="_Toc1240753617"/>
      <w:bookmarkStart w:id="201" w:name="_Toc271443001"/>
      <w:bookmarkStart w:id="202" w:name="_Toc4536"/>
      <w:bookmarkStart w:id="203" w:name="_Toc2100162405"/>
      <w:bookmarkStart w:id="204" w:name="_Toc455280181"/>
      <w:bookmarkStart w:id="205" w:name="_Toc6301"/>
      <w:bookmarkStart w:id="206" w:name="_Toc1651883644"/>
      <w:bookmarkStart w:id="207" w:name="_Toc1083259181"/>
      <w:r>
        <w:rPr>
          <w:rFonts w:hint="eastAsia" w:ascii="仿宋" w:hAnsi="仿宋" w:eastAsia="仿宋" w:cs="仿宋"/>
          <w:snapToGrid w:val="0"/>
          <w:color w:val="000000"/>
          <w:spacing w:val="8"/>
          <w:kern w:val="0"/>
          <w:sz w:val="32"/>
          <w:szCs w:val="32"/>
          <w:lang w:val="en-US" w:eastAsia="zh-CN"/>
          <w14:textOutline w14:w="5791" w14:cap="flat" w14:cmpd="sng">
            <w14:solidFill>
              <w14:srgbClr w14:val="000000"/>
            </w14:solidFill>
            <w14:prstDash w14:val="solid"/>
            <w14:miter w14:val="0"/>
          </w14:textOutline>
        </w:rPr>
        <w:t>五、有关建议</w:t>
      </w:r>
      <w:bookmarkEnd w:id="198"/>
      <w:bookmarkEnd w:id="199"/>
      <w:bookmarkEnd w:id="200"/>
      <w:bookmarkEnd w:id="201"/>
      <w:bookmarkEnd w:id="202"/>
      <w:bookmarkEnd w:id="203"/>
      <w:bookmarkEnd w:id="204"/>
      <w:bookmarkEnd w:id="205"/>
      <w:bookmarkEnd w:id="206"/>
      <w:bookmarkEnd w:id="207"/>
    </w:p>
    <w:p w14:paraId="4F62C3B3">
      <w:pPr>
        <w:widowControl/>
        <w:adjustRightInd w:val="0"/>
        <w:snapToGrid w:val="0"/>
        <w:spacing w:before="0" w:line="360" w:lineRule="auto"/>
        <w:ind w:left="34" w:firstLine="629"/>
        <w:jc w:val="both"/>
        <w:textAlignment w:val="baseline"/>
        <w:outlineLvl w:val="1"/>
        <w:rPr>
          <w:rFonts w:hint="eastAsia" w:ascii="仿宋" w:hAnsi="仿宋" w:eastAsia="仿宋" w:cs="仿宋"/>
          <w:snapToGrid w:val="0"/>
          <w:color w:val="000000"/>
          <w:sz w:val="30"/>
          <w:szCs w:val="30"/>
          <w:lang w:val="en-US" w:eastAsia="zh-CN"/>
        </w:rPr>
      </w:pPr>
      <w:bookmarkStart w:id="208" w:name="（一）合理设置绩效指标，提高绩效目标编制科学性"/>
      <w:bookmarkEnd w:id="208"/>
      <w:bookmarkStart w:id="209" w:name="_bookmark15"/>
      <w:bookmarkEnd w:id="209"/>
      <w:bookmarkStart w:id="210" w:name="_Toc1388318743"/>
      <w:bookmarkStart w:id="211" w:name="_Toc887251579"/>
      <w:bookmarkStart w:id="212" w:name="_Toc25888"/>
      <w:bookmarkStart w:id="213" w:name="_Toc1564846552"/>
      <w:bookmarkStart w:id="214" w:name="_Toc409767806"/>
      <w:r>
        <w:rPr>
          <w:rFonts w:hint="eastAsia" w:ascii="仿宋" w:hAnsi="仿宋" w:eastAsia="仿宋" w:cs="仿宋"/>
          <w:snapToGrid w:val="0"/>
          <w:color w:val="000000"/>
          <w:sz w:val="30"/>
          <w:szCs w:val="30"/>
          <w:lang w:val="en-US" w:eastAsia="zh-CN"/>
        </w:rPr>
        <w:t>（一）</w:t>
      </w:r>
      <w:r>
        <w:rPr>
          <w:rFonts w:hint="eastAsia" w:ascii="仿宋" w:hAnsi="仿宋" w:eastAsia="仿宋" w:cs="仿宋"/>
          <w:snapToGrid w:val="0"/>
          <w:color w:val="000000"/>
          <w:sz w:val="30"/>
          <w:szCs w:val="30"/>
          <w:lang w:val="en-US" w:eastAsia="zh"/>
        </w:rPr>
        <w:t>优化安播短信发送数量的预估和计划</w:t>
      </w:r>
      <w:bookmarkEnd w:id="210"/>
      <w:bookmarkEnd w:id="211"/>
      <w:bookmarkEnd w:id="212"/>
      <w:bookmarkEnd w:id="213"/>
      <w:bookmarkEnd w:id="214"/>
    </w:p>
    <w:p w14:paraId="3B0F9DA6">
      <w:pPr>
        <w:pStyle w:val="2"/>
        <w:spacing w:before="0" w:beforeLines="0" w:line="360" w:lineRule="auto"/>
        <w:ind w:leftChars="0" w:firstLine="600" w:firstLineChars="200"/>
        <w:rPr>
          <w:rFonts w:hint="eastAsia" w:ascii="仿宋" w:hAnsi="仿宋" w:eastAsia="仿宋" w:cs="仿宋"/>
          <w:snapToGrid w:val="0"/>
          <w:color w:val="000000"/>
          <w:sz w:val="30"/>
          <w:szCs w:val="30"/>
          <w:lang w:val="en-US" w:eastAsia="zh-CN"/>
        </w:rPr>
      </w:pPr>
      <w:r>
        <w:rPr>
          <w:rFonts w:hint="eastAsia" w:ascii="仿宋" w:hAnsi="仿宋" w:eastAsia="仿宋" w:cs="仿宋"/>
          <w:snapToGrid w:val="0"/>
          <w:color w:val="000000"/>
          <w:sz w:val="30"/>
          <w:szCs w:val="30"/>
          <w:lang w:val="en-US" w:eastAsia="zh-CN"/>
        </w:rPr>
        <w:t>考虑到每年实际情况的变化，如重要会议、节假日、突发事件等，</w:t>
      </w:r>
      <w:r>
        <w:rPr>
          <w:rFonts w:hint="eastAsia" w:ascii="仿宋" w:hAnsi="仿宋" w:eastAsia="仿宋" w:cs="仿宋"/>
          <w:snapToGrid w:val="0"/>
          <w:color w:val="000000"/>
          <w:sz w:val="30"/>
          <w:szCs w:val="30"/>
          <w:lang w:val="en-US" w:eastAsia="zh"/>
        </w:rPr>
        <w:t>监测站可以考虑</w:t>
      </w:r>
      <w:r>
        <w:rPr>
          <w:rFonts w:hint="eastAsia" w:ascii="仿宋" w:hAnsi="仿宋" w:eastAsia="仿宋" w:cs="仿宋"/>
          <w:snapToGrid w:val="0"/>
          <w:color w:val="000000"/>
          <w:sz w:val="30"/>
          <w:szCs w:val="30"/>
          <w:lang w:val="en-US" w:eastAsia="zh-CN"/>
        </w:rPr>
        <w:t>建立安播短信发送数量的动态调整机制</w:t>
      </w:r>
      <w:r>
        <w:rPr>
          <w:rFonts w:hint="eastAsia" w:ascii="仿宋" w:hAnsi="仿宋" w:eastAsia="仿宋" w:cs="仿宋"/>
          <w:snapToGrid w:val="0"/>
          <w:color w:val="000000"/>
          <w:sz w:val="30"/>
          <w:szCs w:val="30"/>
          <w:lang w:val="en-US" w:eastAsia="zh"/>
        </w:rPr>
        <w:t>，</w:t>
      </w:r>
      <w:r>
        <w:rPr>
          <w:rFonts w:hint="eastAsia" w:ascii="仿宋" w:hAnsi="仿宋" w:eastAsia="仿宋" w:cs="仿宋"/>
          <w:snapToGrid w:val="0"/>
          <w:color w:val="000000"/>
          <w:sz w:val="30"/>
          <w:szCs w:val="30"/>
          <w:lang w:val="en-US" w:eastAsia="zh-CN"/>
        </w:rPr>
        <w:t>通过收集和分析历史数据，结合当前形势和预测，合理预估和调整每年短信发送数量。每年初，</w:t>
      </w:r>
      <w:r>
        <w:rPr>
          <w:rFonts w:hint="eastAsia" w:ascii="仿宋" w:hAnsi="仿宋" w:eastAsia="仿宋" w:cs="仿宋"/>
          <w:snapToGrid w:val="0"/>
          <w:color w:val="000000"/>
          <w:sz w:val="30"/>
          <w:szCs w:val="30"/>
          <w:lang w:val="en-US" w:eastAsia="zh"/>
        </w:rPr>
        <w:t>监测站可</w:t>
      </w:r>
      <w:r>
        <w:rPr>
          <w:rFonts w:hint="eastAsia" w:ascii="仿宋" w:hAnsi="仿宋" w:eastAsia="仿宋" w:cs="仿宋"/>
          <w:snapToGrid w:val="0"/>
          <w:color w:val="000000"/>
          <w:sz w:val="30"/>
          <w:szCs w:val="30"/>
          <w:lang w:val="en-US" w:eastAsia="zh-CN"/>
        </w:rPr>
        <w:t>结合历史数据、当前形势和未来预测，对安播短信发送数量进行动态预估，并允许在实际执行过程中根据重大事件、节假日等实际情况进行弹性调整。这样的策略将确保短信发送量既能满足实际需求，又能避免资源浪费。同时，通过加强数据分析和预测能力，不断提升预估的准确性和有效性，为全市广播电视的安全播出提供坚实保障。</w:t>
      </w:r>
    </w:p>
    <w:p w14:paraId="14F2FBE6">
      <w:pPr>
        <w:widowControl/>
        <w:adjustRightInd w:val="0"/>
        <w:snapToGrid w:val="0"/>
        <w:spacing w:before="0" w:line="360" w:lineRule="auto"/>
        <w:ind w:left="34" w:firstLine="629"/>
        <w:jc w:val="both"/>
        <w:textAlignment w:val="baseline"/>
        <w:outlineLvl w:val="1"/>
        <w:rPr>
          <w:rFonts w:hint="eastAsia" w:ascii="仿宋" w:hAnsi="仿宋" w:eastAsia="仿宋" w:cs="仿宋"/>
          <w:snapToGrid w:val="0"/>
          <w:color w:val="000000"/>
          <w:sz w:val="30"/>
          <w:szCs w:val="30"/>
          <w:lang w:val="en-US" w:eastAsia="zh-CN"/>
        </w:rPr>
      </w:pPr>
      <w:bookmarkStart w:id="215" w:name="_Toc17013"/>
      <w:bookmarkStart w:id="216" w:name="_Toc2134943160"/>
      <w:bookmarkStart w:id="217" w:name="_Toc2058327132"/>
      <w:bookmarkStart w:id="218" w:name="_Toc22354"/>
      <w:bookmarkStart w:id="219" w:name="_Toc1063288946"/>
      <w:bookmarkStart w:id="220" w:name="_Toc143774655"/>
      <w:r>
        <w:rPr>
          <w:rFonts w:hint="eastAsia" w:ascii="仿宋" w:hAnsi="仿宋" w:eastAsia="仿宋" w:cs="仿宋"/>
          <w:snapToGrid w:val="0"/>
          <w:color w:val="000000"/>
          <w:sz w:val="30"/>
          <w:szCs w:val="30"/>
          <w:lang w:val="en-US" w:eastAsia="zh-CN"/>
        </w:rPr>
        <w:t>（二）提高信息化建设水平，</w:t>
      </w:r>
      <w:r>
        <w:rPr>
          <w:rFonts w:hint="eastAsia" w:ascii="仿宋" w:hAnsi="仿宋" w:eastAsia="仿宋" w:cs="仿宋"/>
          <w:snapToGrid w:val="0"/>
          <w:color w:val="000000"/>
          <w:kern w:val="0"/>
          <w:sz w:val="30"/>
          <w:szCs w:val="30"/>
          <w:lang w:val="en-US" w:eastAsia="zh-CN" w:bidi="ar"/>
        </w:rPr>
        <w:t>持续推进监测能力提升</w:t>
      </w:r>
      <w:bookmarkEnd w:id="215"/>
      <w:bookmarkEnd w:id="216"/>
      <w:bookmarkEnd w:id="217"/>
      <w:bookmarkEnd w:id="218"/>
      <w:bookmarkEnd w:id="219"/>
      <w:bookmarkEnd w:id="220"/>
    </w:p>
    <w:p w14:paraId="4BE51C18">
      <w:pPr>
        <w:keepNext w:val="0"/>
        <w:keepLines w:val="0"/>
        <w:pageBreakBefore w:val="0"/>
        <w:widowControl/>
        <w:kinsoku/>
        <w:wordWrap/>
        <w:overflowPunct/>
        <w:topLinePunct w:val="0"/>
        <w:autoSpaceDE w:val="0"/>
        <w:autoSpaceDN w:val="0"/>
        <w:bidi w:val="0"/>
        <w:adjustRightInd w:val="0"/>
        <w:snapToGrid w:val="0"/>
        <w:spacing w:before="0" w:line="360" w:lineRule="auto"/>
        <w:ind w:left="0" w:firstLine="629"/>
        <w:jc w:val="both"/>
        <w:textAlignment w:val="baseline"/>
        <w:outlineLvl w:val="9"/>
        <w:rPr>
          <w:rFonts w:hint="eastAsia" w:ascii="仿宋" w:hAnsi="仿宋" w:eastAsia="仿宋" w:cs="仿宋"/>
          <w:snapToGrid w:val="0"/>
          <w:color w:val="000000"/>
          <w:sz w:val="30"/>
          <w:szCs w:val="30"/>
          <w:lang w:val="en-US" w:eastAsia="zh"/>
        </w:rPr>
      </w:pPr>
      <w:r>
        <w:rPr>
          <w:rFonts w:hint="eastAsia" w:ascii="仿宋" w:hAnsi="仿宋" w:eastAsia="仿宋" w:cs="仿宋"/>
          <w:snapToGrid w:val="0"/>
          <w:color w:val="000000"/>
          <w:sz w:val="30"/>
          <w:szCs w:val="30"/>
          <w:lang w:val="en-US" w:eastAsia="zh-CN"/>
        </w:rPr>
        <w:t>广播监测站目前仍采用人工抽样监测的方式对电视广告进行监测，效率不高且较为耗费人力。可以考虑</w:t>
      </w:r>
      <w:r>
        <w:rPr>
          <w:rFonts w:hint="eastAsia" w:ascii="仿宋" w:hAnsi="仿宋" w:eastAsia="仿宋" w:cs="仿宋"/>
          <w:snapToGrid w:val="0"/>
          <w:color w:val="000000"/>
          <w:kern w:val="0"/>
          <w:sz w:val="30"/>
          <w:szCs w:val="30"/>
          <w:lang w:val="en-US" w:eastAsia="zh-CN" w:bidi="ar"/>
        </w:rPr>
        <w:t>委托经国家广电总局认证的企业提供的电视广告监测系统，针对南京市区两级电视播出机构播出的广告进行自动监测，对违规违法广告及广告播出量进行自动统计，监测结果由人工复核，将</w:t>
      </w:r>
      <w:r>
        <w:rPr>
          <w:rFonts w:hint="eastAsia" w:ascii="仿宋" w:hAnsi="仿宋" w:eastAsia="仿宋" w:cs="仿宋"/>
          <w:snapToGrid w:val="0"/>
          <w:color w:val="000000"/>
          <w:kern w:val="0"/>
          <w:sz w:val="30"/>
          <w:szCs w:val="30"/>
          <w:lang w:val="en-US" w:eastAsia="zh" w:bidi="ar"/>
        </w:rPr>
        <w:t>现有的人工监测改为“系统监测+人工复核”模式，可大力提升电视广告监测效率，对电视广告进行长时间的自动检测，保证监测的时长和质量，提高检测结果的统计效率与质量。</w:t>
      </w:r>
    </w:p>
    <w:p w14:paraId="54513F07">
      <w:pPr>
        <w:pStyle w:val="2"/>
        <w:keepNext w:val="0"/>
        <w:keepLines w:val="0"/>
        <w:pageBreakBefore w:val="0"/>
        <w:kinsoku/>
        <w:wordWrap/>
        <w:overflowPunct/>
        <w:topLinePunct w:val="0"/>
        <w:autoSpaceDE w:val="0"/>
        <w:autoSpaceDN w:val="0"/>
        <w:bidi w:val="0"/>
        <w:adjustRightInd w:val="0"/>
        <w:snapToGrid w:val="0"/>
        <w:ind w:left="0" w:leftChars="0" w:firstLine="600" w:firstLineChars="200"/>
        <w:rPr>
          <w:rFonts w:hint="eastAsia" w:ascii="仿宋" w:hAnsi="仿宋" w:eastAsia="仿宋" w:cs="仿宋"/>
          <w:snapToGrid w:val="0"/>
          <w:color w:val="000000"/>
          <w:sz w:val="30"/>
          <w:szCs w:val="30"/>
          <w:lang w:val="en-US" w:eastAsia="zh-CN"/>
        </w:rPr>
      </w:pPr>
    </w:p>
    <w:p w14:paraId="6B92B814">
      <w:pPr>
        <w:keepNext w:val="0"/>
        <w:keepLines w:val="0"/>
        <w:pageBreakBefore w:val="0"/>
        <w:widowControl/>
        <w:kinsoku w:val="0"/>
        <w:wordWrap/>
        <w:overflowPunct/>
        <w:topLinePunct w:val="0"/>
        <w:bidi w:val="0"/>
        <w:adjustRightInd w:val="0"/>
        <w:snapToGrid w:val="0"/>
        <w:spacing w:before="0" w:after="0" w:line="360" w:lineRule="auto"/>
        <w:ind w:left="675" w:right="0"/>
        <w:textAlignment w:val="baseline"/>
        <w:outlineLvl w:val="0"/>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pPr>
      <w:bookmarkStart w:id="221" w:name="_Toc18267"/>
      <w:bookmarkStart w:id="222" w:name="_Toc490038001"/>
      <w:bookmarkStart w:id="223" w:name="_Toc1832916044"/>
      <w:bookmarkStart w:id="224" w:name="_Toc1279828549"/>
      <w:bookmarkStart w:id="225" w:name="_Toc1485888735"/>
      <w:bookmarkStart w:id="226" w:name="_Toc2654"/>
      <w:bookmarkStart w:id="227" w:name="_Toc539816292"/>
      <w:bookmarkStart w:id="228" w:name="_Toc501523710"/>
      <w:bookmarkStart w:id="229" w:name="_Toc32737"/>
      <w:bookmarkStart w:id="230" w:name="_Toc2118179448"/>
      <w:r>
        <w:rPr>
          <w:rFonts w:hint="eastAsia" w:ascii="仿宋" w:hAnsi="仿宋" w:eastAsia="仿宋" w:cs="仿宋"/>
          <w:snapToGrid w:val="0"/>
          <w:color w:val="000000"/>
          <w:spacing w:val="8"/>
          <w:kern w:val="0"/>
          <w:sz w:val="32"/>
          <w:szCs w:val="32"/>
          <w14:textOutline w14:w="5791" w14:cap="flat" w14:cmpd="sng">
            <w14:solidFill>
              <w14:srgbClr w14:val="000000"/>
            </w14:solidFill>
            <w14:prstDash w14:val="solid"/>
            <w14:miter w14:val="0"/>
          </w14:textOutline>
        </w:rPr>
        <w:t>六、评价工作开展情况</w:t>
      </w:r>
      <w:bookmarkEnd w:id="221"/>
      <w:bookmarkEnd w:id="222"/>
      <w:bookmarkEnd w:id="223"/>
      <w:bookmarkEnd w:id="224"/>
      <w:bookmarkEnd w:id="225"/>
      <w:bookmarkEnd w:id="226"/>
      <w:bookmarkEnd w:id="227"/>
      <w:bookmarkEnd w:id="228"/>
      <w:bookmarkEnd w:id="229"/>
      <w:bookmarkEnd w:id="230"/>
    </w:p>
    <w:p w14:paraId="07A62E62">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231" w:name="_bookmark17"/>
      <w:bookmarkEnd w:id="231"/>
      <w:bookmarkStart w:id="232" w:name="（一）基本情况"/>
      <w:bookmarkEnd w:id="232"/>
      <w:bookmarkStart w:id="233" w:name="_Toc1039"/>
      <w:bookmarkStart w:id="234" w:name="_Toc882214691"/>
      <w:bookmarkStart w:id="235" w:name="_Toc167035293"/>
      <w:bookmarkStart w:id="236" w:name="_Toc468896562"/>
      <w:bookmarkStart w:id="237" w:name="_Toc235679495"/>
      <w:bookmarkStart w:id="238" w:name="_Toc24723"/>
      <w:bookmarkStart w:id="239" w:name="_Toc244638182"/>
      <w:bookmarkStart w:id="240" w:name="_Toc26675"/>
      <w:bookmarkStart w:id="241" w:name="_Toc1405566217"/>
      <w:bookmarkStart w:id="242" w:name="_Toc1721494716"/>
      <w:r>
        <w:rPr>
          <w:rFonts w:hint="eastAsia" w:ascii="仿宋" w:hAnsi="仿宋" w:eastAsia="仿宋" w:cs="仿宋"/>
          <w:snapToGrid w:val="0"/>
          <w:color w:val="000000"/>
          <w:kern w:val="0"/>
          <w:sz w:val="30"/>
          <w:szCs w:val="30"/>
          <w:lang w:val="en-US" w:eastAsia="zh-CN"/>
        </w:rPr>
        <w:t>（一）基本情况</w:t>
      </w:r>
      <w:bookmarkEnd w:id="233"/>
      <w:bookmarkEnd w:id="234"/>
      <w:bookmarkEnd w:id="235"/>
      <w:bookmarkEnd w:id="236"/>
      <w:bookmarkEnd w:id="237"/>
      <w:bookmarkEnd w:id="238"/>
      <w:bookmarkEnd w:id="239"/>
      <w:bookmarkEnd w:id="240"/>
      <w:bookmarkEnd w:id="241"/>
      <w:bookmarkEnd w:id="242"/>
    </w:p>
    <w:p w14:paraId="03860D46">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3" w:name="_Toc10039"/>
      <w:r>
        <w:rPr>
          <w:rFonts w:hint="eastAsia" w:ascii="仿宋" w:hAnsi="仿宋" w:eastAsia="仿宋" w:cs="仿宋"/>
          <w:snapToGrid w:val="0"/>
          <w:color w:val="000000"/>
          <w:kern w:val="0"/>
          <w:sz w:val="30"/>
          <w:szCs w:val="30"/>
          <w:lang w:val="en-US" w:eastAsia="zh-CN"/>
        </w:rPr>
        <w:t>1.评价目的</w:t>
      </w:r>
      <w:bookmarkEnd w:id="243"/>
    </w:p>
    <w:p w14:paraId="772F7B64">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整体预算绩效评价是从政府职能出发，根据预算部门设定的部门战略目标，运用科学、合理的绩效评价指标、评价标准和评价方法，对预算部门整体支出的绩效目标完成情况、部门履职情况、预算管理水平进行客观公正的评价。通过部门整体预算绩效评价，能够准确找到市广播电视监测站支出管理的强弱项，促进其不断改进和创新已有的管理方式，提高管理效能和管理质量。在评价范围上，不仅包括项目支出，还涉及人员支出和公用经费支出。在评价内容上，整体预算绩效评价关注的不仅是专项资金的使用绩效，同时关注部门全部财政资金的总量安排合理性、资金结构与单位核心职能的匹配关系、资金安排对单位战略目标的支持程度，从更全面的角度为财政专项资金的合理分配提供参考依据。</w:t>
      </w:r>
    </w:p>
    <w:p w14:paraId="5934D70C">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通过对南京市广播电视监测站2023年度整体预算进行绩效评价，了解部门财政预算资金使用情况，系统评价财政预算资金在广播电视监测中所发挥的作用和取得的实际效果，总结广播电视监测实施、资金管理的经验，分析管理中存在的问题，为完善财政预算资金管理，提高资金使用效益提供重要依据。</w:t>
      </w:r>
    </w:p>
    <w:p w14:paraId="17225A5C">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4" w:name="_Toc15323"/>
      <w:r>
        <w:rPr>
          <w:rFonts w:hint="eastAsia" w:ascii="仿宋" w:hAnsi="仿宋" w:eastAsia="仿宋" w:cs="仿宋"/>
          <w:snapToGrid w:val="0"/>
          <w:color w:val="000000"/>
          <w:kern w:val="0"/>
          <w:sz w:val="30"/>
          <w:szCs w:val="30"/>
          <w:lang w:val="en-US" w:eastAsia="zh-CN"/>
        </w:rPr>
        <w:t>2.评价依据</w:t>
      </w:r>
      <w:bookmarkEnd w:id="244"/>
    </w:p>
    <w:p w14:paraId="6B715E58">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法律法规和政策</w:t>
      </w:r>
    </w:p>
    <w:p w14:paraId="36F0D8FF">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（1）《中华人民共和国预算法》及其实施条例</w:t>
      </w:r>
    </w:p>
    <w:p w14:paraId="15652CAA">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（2）中共中央 国务院《关于全面实施预算绩效管理的意见》（中发[2018]34号）</w:t>
      </w:r>
    </w:p>
    <w:p w14:paraId="2825E54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（3）中共江苏省委 江苏省人民政府《关于全面实施预算绩效管理的实施意见》（苏发[2019]6号）</w:t>
      </w:r>
    </w:p>
    <w:p w14:paraId="0EFF05A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部门规章</w:t>
      </w:r>
    </w:p>
    <w:p w14:paraId="19F73E5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（1）财政部《项目支出绩效评价管理办法》（财预[2020]10号）</w:t>
      </w:r>
    </w:p>
    <w:p w14:paraId="788060A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（2）财政部《中央部门项目支出核心绩效目标和指标设置及取值指引（试行）》（财预[2021]101号）</w:t>
      </w:r>
    </w:p>
    <w:p w14:paraId="30F21B9F">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（3）财政部《第三方机构预算绩效评价业务监督管理暂行办法》（财监[2021]4号）</w:t>
      </w:r>
    </w:p>
    <w:p w14:paraId="3A06B9E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（4）江苏省财政厅《省级部门整体绩效评价管理暂行办法》（苏财绩[2022]51号）</w:t>
      </w:r>
    </w:p>
    <w:p w14:paraId="2BC9AE18">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（5）南京市财政局《南京市市级财政预算绩效评价操作规程（试行）》（宁财绩[2020]260号）</w:t>
      </w:r>
    </w:p>
    <w:p w14:paraId="418180BB">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（6）南京市财政局《南京市市级预算部门（单位）整体绩效管理办法（试行）》（宁财绩[2020]359号）</w:t>
      </w:r>
    </w:p>
    <w:p w14:paraId="04E88092">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其他被评价单位财务资料及业务管理有关材料。</w:t>
      </w:r>
    </w:p>
    <w:p w14:paraId="54F5D3AD">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5" w:name="_Toc772"/>
      <w:r>
        <w:rPr>
          <w:rFonts w:hint="eastAsia" w:ascii="仿宋" w:hAnsi="仿宋" w:eastAsia="仿宋" w:cs="仿宋"/>
          <w:snapToGrid w:val="0"/>
          <w:color w:val="000000"/>
          <w:kern w:val="0"/>
          <w:sz w:val="30"/>
          <w:szCs w:val="30"/>
          <w:lang w:val="en-US" w:eastAsia="zh-CN"/>
        </w:rPr>
        <w:t>3.评价原则</w:t>
      </w:r>
      <w:bookmarkEnd w:id="245"/>
    </w:p>
    <w:p w14:paraId="4ADE743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评价工作遵循“个性指标与共性指标相结合”、“定性指标与定量指标相结合”、“主观性与客观性相结合”以及“过程指标与结果指标相结合”的原则，采用“绩效优先”、“管理并重”、“佐证支撑”的绩效评价理念，主要从决策、过程、履职、效益、满意度等五个方面对评价目标进行逐步分解，从定性与定量两个角度综合考量，评价资金使用的效率与效益。</w:t>
      </w:r>
    </w:p>
    <w:p w14:paraId="19C6D55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（1）个性指标与共性指标相结合</w:t>
      </w:r>
    </w:p>
    <w:p w14:paraId="7FB9AD31">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各个工作部门都有其自身特定的工作性质和工作内容，评估模式要形成相应的工作个性指标，根据不同的考评目的和考评对象进行指标设计，应从实际情况出发，使其具有较强的针对性，充分体现出所考评对象工作的性质、工作内容和特点。评估模式中设置共性指标，直接显现各个部门之间横向的可比性，有助于绩效评估在更大的范围内迅速推广，增强评估本身的绩效。共性指标主要集中于投入和过程环节，个性指标主要集中于产出和效益环节。</w:t>
      </w:r>
    </w:p>
    <w:p w14:paraId="53176DAE">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（2）定性指标与定量指标相结合</w:t>
      </w:r>
    </w:p>
    <w:p w14:paraId="721AFD51">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定性指标是指不能用数据计量的，而只能通过描述性的语句来表述其内容和程度的指标，多是各项能力态度类指标，比如沟通能力、创新能力、领导能力、责任感、主动性等。本绩效评价指标体系的定性指标的筛选主要采用德尔菲法，运用该方法时，各位专家之间相互独立，各自回答研究者提出的问题，研究者与专家之间可以进行反复沟通与讨论，最终获得咨询结果，以此来确保定性指标的科学性。</w:t>
      </w:r>
    </w:p>
    <w:p w14:paraId="15A2D925">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（3）主观性与客观性相结合</w:t>
      </w:r>
    </w:p>
    <w:p w14:paraId="1641F62E">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评价指标遵循主客观相结合的原则。其中，客观指标是指反映客观现象的指标，是反映实情的指标。主观指标也称感觉指标，是指反映人们的感觉、愿望、态度、评价等主观情况的指标，是反映民意的指标。本绩效评价指标体系客观指标数据主要是参照文献和政府官方网站文件，主观指标数据是依靠各方专家打分及调查问卷来获取。</w:t>
      </w:r>
    </w:p>
    <w:p w14:paraId="2F5F53C4">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（4）过程指标与结果指标相结合</w:t>
      </w:r>
    </w:p>
    <w:p w14:paraId="22372ABF">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政府绩效评估指标设计应该坚持过程指标与结果指标相结合的原则。过程方面主要是对政府部门职能评价、财务性指标评价和一些常规性评价，约占该指标体系的46%左右；结果指标，包括部门履职和部门绩效两方面，约占该指标体系的54%左右。</w:t>
      </w:r>
    </w:p>
    <w:p w14:paraId="4E3B5D5C">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6" w:name="_Toc6201"/>
      <w:r>
        <w:rPr>
          <w:rFonts w:hint="eastAsia" w:ascii="仿宋" w:hAnsi="仿宋" w:eastAsia="仿宋" w:cs="仿宋"/>
          <w:snapToGrid w:val="0"/>
          <w:color w:val="000000"/>
          <w:kern w:val="0"/>
          <w:sz w:val="30"/>
          <w:szCs w:val="30"/>
          <w:lang w:val="en-US" w:eastAsia="zh-CN"/>
        </w:rPr>
        <w:t>4.评价方法</w:t>
      </w:r>
      <w:bookmarkEnd w:id="246"/>
    </w:p>
    <w:p w14:paraId="226F7A5A">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本次绩效评价所采用的方法主要包括如下几种：</w:t>
      </w:r>
    </w:p>
    <w:p w14:paraId="4DB207E8">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（1）成本效益分析法。是指将一定时期内的支出与效益进行对比分析，以评价绩效目标实现程度。</w:t>
      </w:r>
    </w:p>
    <w:p w14:paraId="7E37BD5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（2）比较法。是指通过对绩效目标与实施效果、历史与当期情况、不同部门和地区同类支出的比较，综合分析绩效目标实现程度。</w:t>
      </w:r>
    </w:p>
    <w:p w14:paraId="1AC21803">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（3）因素分析法。是指通过对综合分析影响绩效目标实现、实施效果的内外因素，评价绩效目标实现程度。</w:t>
      </w:r>
    </w:p>
    <w:p w14:paraId="3596F375">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（4）公众评判法。是指通过专家评估、公众问卷及抽样调查方法等对财政支出效果进行评判，评价绩效目标实现程度。</w:t>
      </w:r>
    </w:p>
    <w:p w14:paraId="39463D4B">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2"/>
        <w:rPr>
          <w:rFonts w:hint="eastAsia" w:ascii="仿宋" w:hAnsi="仿宋" w:eastAsia="仿宋" w:cs="仿宋"/>
          <w:snapToGrid w:val="0"/>
          <w:color w:val="000000"/>
          <w:kern w:val="0"/>
          <w:sz w:val="30"/>
          <w:szCs w:val="30"/>
          <w:lang w:val="en-US" w:eastAsia="zh-CN"/>
        </w:rPr>
      </w:pPr>
      <w:bookmarkStart w:id="247" w:name="_Toc27324"/>
      <w:r>
        <w:rPr>
          <w:rFonts w:hint="eastAsia" w:ascii="仿宋" w:hAnsi="仿宋" w:eastAsia="仿宋" w:cs="仿宋"/>
          <w:snapToGrid w:val="0"/>
          <w:color w:val="000000"/>
          <w:kern w:val="0"/>
          <w:sz w:val="30"/>
          <w:szCs w:val="30"/>
          <w:lang w:val="en-US" w:eastAsia="zh-CN"/>
        </w:rPr>
        <w:t>5.指标体系</w:t>
      </w:r>
      <w:bookmarkEnd w:id="247"/>
      <w:bookmarkStart w:id="248" w:name="_bookmark18"/>
      <w:bookmarkEnd w:id="248"/>
      <w:bookmarkStart w:id="249" w:name="（二）评价组织实施"/>
      <w:bookmarkEnd w:id="249"/>
    </w:p>
    <w:p w14:paraId="334850D0">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整体预算评价指标体系分为四大部分，包含4个一级指标，即决策、过程、履职、效益，涵盖项目从管理实施至部门履职和取得效果的全过程，详见《2023年度南京市广播电视监测站部门整体绩效评价指标体系得分》。</w:t>
      </w:r>
    </w:p>
    <w:p w14:paraId="5EDB7C62">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评价体系采取百分制的计分方式，其中决策与过程指标满分46分，该部分反映业务管理和资金管理等情况；部门履职效益及满意度指标满分54分，该部分反映部门年度工作任务的实现情况。</w:t>
      </w:r>
    </w:p>
    <w:p w14:paraId="09CAA65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1"/>
        <w:rPr>
          <w:rFonts w:hint="eastAsia" w:ascii="仿宋" w:hAnsi="仿宋" w:eastAsia="仿宋" w:cs="仿宋"/>
          <w:snapToGrid w:val="0"/>
          <w:color w:val="000000"/>
          <w:kern w:val="0"/>
          <w:sz w:val="30"/>
          <w:szCs w:val="30"/>
          <w:lang w:val="en-US" w:eastAsia="zh-CN"/>
        </w:rPr>
      </w:pPr>
      <w:bookmarkStart w:id="250" w:name="_Toc1031292119"/>
      <w:bookmarkStart w:id="251" w:name="_Toc114515781"/>
      <w:bookmarkStart w:id="252" w:name="_Toc17784"/>
      <w:bookmarkStart w:id="253" w:name="_Toc22062"/>
      <w:bookmarkStart w:id="254" w:name="_Toc1350224516"/>
      <w:bookmarkStart w:id="255" w:name="_Toc1627016691"/>
      <w:bookmarkStart w:id="256" w:name="_Toc8757"/>
      <w:bookmarkStart w:id="257" w:name="_Toc601042822"/>
      <w:bookmarkStart w:id="258" w:name="_Toc1155212749"/>
      <w:bookmarkStart w:id="259" w:name="_Toc1105427397"/>
      <w:r>
        <w:rPr>
          <w:rFonts w:hint="eastAsia" w:ascii="仿宋" w:hAnsi="仿宋" w:eastAsia="仿宋" w:cs="仿宋"/>
          <w:snapToGrid w:val="0"/>
          <w:color w:val="000000"/>
          <w:kern w:val="0"/>
          <w:sz w:val="30"/>
          <w:szCs w:val="30"/>
          <w:lang w:val="en-US" w:eastAsia="zh-CN"/>
        </w:rPr>
        <w:t>（二）评价组织实施</w:t>
      </w:r>
      <w:bookmarkEnd w:id="250"/>
      <w:bookmarkEnd w:id="251"/>
      <w:bookmarkEnd w:id="252"/>
      <w:bookmarkEnd w:id="253"/>
      <w:bookmarkEnd w:id="254"/>
      <w:bookmarkEnd w:id="255"/>
      <w:bookmarkEnd w:id="256"/>
      <w:bookmarkEnd w:id="257"/>
      <w:bookmarkEnd w:id="258"/>
      <w:bookmarkEnd w:id="259"/>
    </w:p>
    <w:p w14:paraId="34B75FE9">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2023年度南京市广播电视监测站整体预算绩效评价通过前期准备、组织实施、综合评价三个阶段实施具体的评价工作。</w:t>
      </w:r>
    </w:p>
    <w:p w14:paraId="7B18F629">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bookmarkStart w:id="260" w:name="_Toc24163"/>
      <w:r>
        <w:rPr>
          <w:rFonts w:hint="eastAsia" w:ascii="仿宋" w:hAnsi="仿宋" w:eastAsia="仿宋" w:cs="仿宋"/>
          <w:snapToGrid w:val="0"/>
          <w:color w:val="000000"/>
          <w:kern w:val="0"/>
          <w:sz w:val="30"/>
          <w:szCs w:val="30"/>
          <w:lang w:val="en-US" w:eastAsia="zh-CN"/>
        </w:rPr>
        <w:t>（1）前期准备阶段（2024年</w:t>
      </w:r>
      <w:r>
        <w:rPr>
          <w:rFonts w:hint="eastAsia" w:ascii="仿宋" w:hAnsi="仿宋" w:eastAsia="仿宋" w:cs="仿宋"/>
          <w:snapToGrid w:val="0"/>
          <w:color w:val="000000"/>
          <w:kern w:val="0"/>
          <w:sz w:val="30"/>
          <w:szCs w:val="30"/>
          <w:lang w:val="en-US" w:eastAsia="zh"/>
        </w:rPr>
        <w:t>4</w:t>
      </w:r>
      <w:r>
        <w:rPr>
          <w:rFonts w:hint="eastAsia" w:ascii="仿宋" w:hAnsi="仿宋" w:eastAsia="仿宋" w:cs="仿宋"/>
          <w:snapToGrid w:val="0"/>
          <w:color w:val="000000"/>
          <w:kern w:val="0"/>
          <w:sz w:val="30"/>
          <w:szCs w:val="30"/>
          <w:lang w:val="en-US" w:eastAsia="zh-CN"/>
        </w:rPr>
        <w:t>月2</w:t>
      </w:r>
      <w:r>
        <w:rPr>
          <w:rFonts w:hint="eastAsia" w:ascii="仿宋" w:hAnsi="仿宋" w:eastAsia="仿宋" w:cs="仿宋"/>
          <w:snapToGrid w:val="0"/>
          <w:color w:val="000000"/>
          <w:kern w:val="0"/>
          <w:sz w:val="30"/>
          <w:szCs w:val="30"/>
          <w:lang w:val="en-US" w:eastAsia="zh"/>
        </w:rPr>
        <w:t>6</w:t>
      </w:r>
      <w:r>
        <w:rPr>
          <w:rFonts w:hint="eastAsia" w:ascii="仿宋" w:hAnsi="仿宋" w:eastAsia="仿宋" w:cs="仿宋"/>
          <w:snapToGrid w:val="0"/>
          <w:color w:val="000000"/>
          <w:kern w:val="0"/>
          <w:sz w:val="30"/>
          <w:szCs w:val="30"/>
          <w:lang w:val="en-US" w:eastAsia="zh-CN"/>
        </w:rPr>
        <w:t>日至</w:t>
      </w:r>
      <w:r>
        <w:rPr>
          <w:rFonts w:hint="eastAsia" w:ascii="仿宋" w:hAnsi="仿宋" w:eastAsia="仿宋" w:cs="仿宋"/>
          <w:snapToGrid w:val="0"/>
          <w:color w:val="000000"/>
          <w:kern w:val="0"/>
          <w:sz w:val="30"/>
          <w:szCs w:val="30"/>
          <w:lang w:val="en-US" w:eastAsia="zh"/>
        </w:rPr>
        <w:t>4</w:t>
      </w:r>
      <w:r>
        <w:rPr>
          <w:rFonts w:hint="eastAsia" w:ascii="仿宋" w:hAnsi="仿宋" w:eastAsia="仿宋" w:cs="仿宋"/>
          <w:snapToGrid w:val="0"/>
          <w:color w:val="000000"/>
          <w:kern w:val="0"/>
          <w:sz w:val="30"/>
          <w:szCs w:val="30"/>
          <w:lang w:val="en-US" w:eastAsia="zh-CN"/>
        </w:rPr>
        <w:t>月</w:t>
      </w:r>
      <w:r>
        <w:rPr>
          <w:rFonts w:hint="eastAsia" w:ascii="仿宋" w:hAnsi="仿宋" w:eastAsia="仿宋" w:cs="仿宋"/>
          <w:snapToGrid w:val="0"/>
          <w:color w:val="000000"/>
          <w:kern w:val="0"/>
          <w:sz w:val="30"/>
          <w:szCs w:val="30"/>
          <w:lang w:val="en-US" w:eastAsia="zh"/>
        </w:rPr>
        <w:t>30</w:t>
      </w:r>
      <w:r>
        <w:rPr>
          <w:rFonts w:hint="eastAsia" w:ascii="仿宋" w:hAnsi="仿宋" w:eastAsia="仿宋" w:cs="仿宋"/>
          <w:snapToGrid w:val="0"/>
          <w:color w:val="000000"/>
          <w:kern w:val="0"/>
          <w:sz w:val="30"/>
          <w:szCs w:val="30"/>
          <w:lang w:val="en-US" w:eastAsia="zh-CN"/>
        </w:rPr>
        <w:t>日）</w:t>
      </w:r>
      <w:bookmarkEnd w:id="260"/>
    </w:p>
    <w:p w14:paraId="7B083C72">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组建绩效评价工作小组，进入项目实施单位，开展调查研究、分析论证并形成绩效评价工作方案。同时，搜集有关文件资料，结合单位职能，设计了基础数据调查表，为后期的数据获取、现场核查做了充分的准备。</w:t>
      </w:r>
    </w:p>
    <w:p w14:paraId="02E781A7">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bookmarkStart w:id="261" w:name="_Toc27380"/>
      <w:r>
        <w:rPr>
          <w:rFonts w:hint="eastAsia" w:ascii="仿宋" w:hAnsi="仿宋" w:eastAsia="仿宋" w:cs="仿宋"/>
          <w:snapToGrid w:val="0"/>
          <w:color w:val="000000"/>
          <w:kern w:val="0"/>
          <w:sz w:val="30"/>
          <w:szCs w:val="30"/>
          <w:lang w:val="en-US" w:eastAsia="zh-CN"/>
        </w:rPr>
        <w:t>（2）组织实施阶段（2024年5月</w:t>
      </w:r>
      <w:r>
        <w:rPr>
          <w:rFonts w:hint="eastAsia" w:ascii="仿宋" w:hAnsi="仿宋" w:eastAsia="仿宋" w:cs="仿宋"/>
          <w:snapToGrid w:val="0"/>
          <w:color w:val="000000"/>
          <w:kern w:val="0"/>
          <w:sz w:val="30"/>
          <w:szCs w:val="30"/>
          <w:lang w:val="en-US" w:eastAsia="zh"/>
        </w:rPr>
        <w:t>6</w:t>
      </w:r>
      <w:r>
        <w:rPr>
          <w:rFonts w:hint="eastAsia" w:ascii="仿宋" w:hAnsi="仿宋" w:eastAsia="仿宋" w:cs="仿宋"/>
          <w:snapToGrid w:val="0"/>
          <w:color w:val="000000"/>
          <w:kern w:val="0"/>
          <w:sz w:val="30"/>
          <w:szCs w:val="30"/>
          <w:lang w:val="en-US" w:eastAsia="zh-CN"/>
        </w:rPr>
        <w:t>日至6月7日）</w:t>
      </w:r>
      <w:bookmarkEnd w:id="261"/>
    </w:p>
    <w:p w14:paraId="7FD78BAF">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绩效评价工作小组对单位情况进行核查，核查内容包括绩效评价基础数据调查表的收集核对。评价人员对相关人员进行访谈，了解各项工作安排、进展情况；对单位基础数据和资料的真实性、准确性进行核实等方面的内容。</w:t>
      </w:r>
    </w:p>
    <w:p w14:paraId="0C0B7E1E">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3"/>
        <w:rPr>
          <w:rFonts w:hint="eastAsia" w:ascii="仿宋" w:hAnsi="仿宋" w:eastAsia="仿宋" w:cs="仿宋"/>
          <w:snapToGrid w:val="0"/>
          <w:color w:val="000000"/>
          <w:kern w:val="0"/>
          <w:sz w:val="30"/>
          <w:szCs w:val="30"/>
          <w:lang w:val="en-US" w:eastAsia="zh-CN"/>
        </w:rPr>
      </w:pPr>
      <w:bookmarkStart w:id="262" w:name="_Toc1862"/>
      <w:r>
        <w:rPr>
          <w:rFonts w:hint="eastAsia" w:ascii="仿宋" w:hAnsi="仿宋" w:eastAsia="仿宋" w:cs="仿宋"/>
          <w:snapToGrid w:val="0"/>
          <w:color w:val="000000"/>
          <w:kern w:val="0"/>
          <w:sz w:val="30"/>
          <w:szCs w:val="30"/>
          <w:lang w:val="en-US" w:eastAsia="zh-CN"/>
        </w:rPr>
        <w:t>（3）综合评价阶段（2024年6月</w:t>
      </w:r>
      <w:r>
        <w:rPr>
          <w:rFonts w:hint="eastAsia" w:ascii="仿宋" w:hAnsi="仿宋" w:eastAsia="仿宋" w:cs="仿宋"/>
          <w:snapToGrid w:val="0"/>
          <w:color w:val="000000"/>
          <w:kern w:val="0"/>
          <w:sz w:val="30"/>
          <w:szCs w:val="30"/>
          <w:lang w:val="en-US" w:eastAsia="zh"/>
        </w:rPr>
        <w:t>11</w:t>
      </w:r>
      <w:r>
        <w:rPr>
          <w:rFonts w:hint="eastAsia" w:ascii="仿宋" w:hAnsi="仿宋" w:eastAsia="仿宋" w:cs="仿宋"/>
          <w:snapToGrid w:val="0"/>
          <w:color w:val="000000"/>
          <w:kern w:val="0"/>
          <w:sz w:val="30"/>
          <w:szCs w:val="30"/>
          <w:lang w:val="en-US" w:eastAsia="zh-CN"/>
        </w:rPr>
        <w:t>日至6月24日）</w:t>
      </w:r>
      <w:bookmarkEnd w:id="262"/>
    </w:p>
    <w:p w14:paraId="03FA0329">
      <w:pPr>
        <w:keepNext w:val="0"/>
        <w:keepLines w:val="0"/>
        <w:pageBreakBefore w:val="0"/>
        <w:widowControl/>
        <w:kinsoku/>
        <w:wordWrap/>
        <w:overflowPunct/>
        <w:topLinePunct w:val="0"/>
        <w:autoSpaceDE w:val="0"/>
        <w:autoSpaceDN w:val="0"/>
        <w:bidi w:val="0"/>
        <w:adjustRightInd w:val="0"/>
        <w:snapToGrid w:val="0"/>
        <w:spacing w:before="0" w:after="0" w:line="360" w:lineRule="auto"/>
        <w:ind w:left="34" w:right="0" w:firstLine="629"/>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绩效评价工作小组整理分析获取的基础数据、调查问卷等资料，综合书面评审意见和现场评价结论等情况，依据制定的评价标准进行了评价指标打分，以定量和定性相结合的评价方法完成绩效评价报告。</w:t>
      </w:r>
    </w:p>
    <w:p w14:paraId="6A8807B6">
      <w:pPr>
        <w:widowControl/>
        <w:kinsoku w:val="0"/>
        <w:adjustRightInd w:val="0"/>
        <w:snapToGrid w:val="0"/>
        <w:spacing w:before="1" w:after="0" w:line="223" w:lineRule="auto"/>
        <w:ind w:left="0" w:right="0" w:firstLine="0" w:firstLineChars="0"/>
        <w:textAlignment w:val="baseline"/>
        <w:outlineLvl w:val="0"/>
        <w:rPr>
          <w:rFonts w:hint="eastAsia" w:ascii="宋体" w:hAnsi="宋体" w:eastAsia="宋体" w:cs="宋体"/>
          <w:snapToGrid w:val="0"/>
          <w:color w:val="000000"/>
          <w:spacing w:val="-1"/>
          <w:kern w:val="0"/>
          <w:sz w:val="31"/>
          <w:szCs w:val="31"/>
          <w:lang w:val="en-US" w:eastAsia="zh-CN"/>
          <w14:textOutline w14:w="5791" w14:cap="flat" w14:cmpd="sng">
            <w14:solidFill>
              <w14:srgbClr w14:val="000000"/>
            </w14:solidFill>
            <w14:prstDash w14:val="solid"/>
            <w14:miter w14:val="0"/>
          </w14:textOutline>
        </w:rPr>
        <w:sectPr>
          <w:footerReference r:id="rId6" w:type="default"/>
          <w:pgSz w:w="11910" w:h="16840"/>
          <w:pgMar w:top="1440" w:right="1800" w:bottom="1440" w:left="1800" w:header="0" w:footer="1197" w:gutter="0"/>
          <w:pgNumType w:fmt="decimal" w:start="1"/>
          <w:cols w:space="720" w:num="1"/>
        </w:sectPr>
      </w:pPr>
      <w:bookmarkStart w:id="263" w:name="_bookmark19"/>
      <w:bookmarkEnd w:id="263"/>
      <w:bookmarkStart w:id="264" w:name="附件：绩效评价指标体系得分情况表"/>
      <w:bookmarkEnd w:id="264"/>
      <w:bookmarkStart w:id="265" w:name="_Toc1360248386"/>
      <w:bookmarkStart w:id="266" w:name="_Toc261019916"/>
      <w:bookmarkStart w:id="267" w:name="_Toc12916"/>
      <w:bookmarkStart w:id="268" w:name="_Toc521383555"/>
      <w:bookmarkStart w:id="269" w:name="_Toc225"/>
      <w:bookmarkStart w:id="270" w:name="_Toc763742563"/>
      <w:bookmarkStart w:id="271" w:name="_Toc23833"/>
      <w:bookmarkStart w:id="272" w:name="_Toc586129096"/>
      <w:bookmarkStart w:id="273" w:name="_Toc2111117513"/>
      <w:bookmarkStart w:id="274" w:name="_Toc1037231182"/>
      <w:r>
        <w:rPr>
          <w:rFonts w:hint="eastAsia" w:ascii="宋体" w:hAnsi="宋体" w:eastAsia="宋体" w:cs="宋体"/>
          <w:snapToGrid w:val="0"/>
          <w:color w:val="000000"/>
          <w:spacing w:val="-1"/>
          <w:kern w:val="0"/>
          <w:sz w:val="31"/>
          <w:szCs w:val="31"/>
          <w:lang w:val="en-US" w:eastAsia="zh-CN"/>
          <w14:textOutline w14:w="5791" w14:cap="flat" w14:cmpd="sng">
            <w14:solidFill>
              <w14:srgbClr w14:val="000000"/>
            </w14:solidFill>
            <w14:prstDash w14:val="solid"/>
            <w14:miter w14:val="0"/>
          </w14:textOutline>
        </w:rPr>
        <w:t>附件：绩效评价指标体系得分情况表</w:t>
      </w:r>
      <w:bookmarkEnd w:id="265"/>
      <w:bookmarkEnd w:id="266"/>
      <w:bookmarkEnd w:id="267"/>
      <w:bookmarkEnd w:id="268"/>
      <w:bookmarkEnd w:id="269"/>
      <w:bookmarkEnd w:id="270"/>
      <w:bookmarkEnd w:id="271"/>
      <w:bookmarkEnd w:id="272"/>
      <w:bookmarkEnd w:id="273"/>
      <w:bookmarkEnd w:id="274"/>
    </w:p>
    <w:p w14:paraId="19F49CF6">
      <w:pPr>
        <w:widowControl/>
        <w:kinsoku w:val="0"/>
        <w:adjustRightInd w:val="0"/>
        <w:snapToGrid w:val="0"/>
        <w:spacing w:before="0" w:after="0"/>
        <w:ind w:left="0" w:right="0"/>
        <w:textAlignment w:val="baseline"/>
        <w:rPr>
          <w:rFonts w:hint="eastAsia" w:ascii="宋体" w:hAnsi="宋体" w:eastAsia="宋体" w:cs="宋体"/>
          <w:snapToGrid w:val="0"/>
          <w:color w:val="000000"/>
          <w:spacing w:val="16"/>
          <w:kern w:val="0"/>
          <w:sz w:val="31"/>
          <w:szCs w:val="31"/>
          <w:lang w:eastAsia="zh-CN"/>
          <w14:textOutline w14:w="5791" w14:cap="flat" w14:cmpd="sng">
            <w14:solidFill>
              <w14:srgbClr w14:val="000000"/>
            </w14:solidFill>
            <w14:prstDash w14:val="solid"/>
            <w14:miter w14:val="0"/>
          </w14:textOutline>
        </w:rPr>
      </w:pPr>
      <w:r>
        <w:rPr>
          <w:rFonts w:hint="eastAsia" w:ascii="宋体" w:hAnsi="宋体" w:eastAsia="宋体" w:cs="宋体"/>
          <w:snapToGrid w:val="0"/>
          <w:color w:val="000000"/>
          <w:spacing w:val="16"/>
          <w:kern w:val="0"/>
          <w:sz w:val="31"/>
          <w:szCs w:val="31"/>
          <w14:textOutline w14:w="5791" w14:cap="flat" w14:cmpd="sng">
            <w14:solidFill>
              <w14:srgbClr w14:val="000000"/>
            </w14:solidFill>
            <w14:prstDash w14:val="solid"/>
            <w14:miter w14:val="0"/>
          </w14:textOutline>
        </w:rPr>
        <w:t>附件</w:t>
      </w:r>
      <w:r>
        <w:rPr>
          <w:rFonts w:hint="eastAsia" w:cs="宋体"/>
          <w:snapToGrid w:val="0"/>
          <w:color w:val="000000"/>
          <w:spacing w:val="16"/>
          <w:kern w:val="0"/>
          <w:sz w:val="31"/>
          <w:szCs w:val="31"/>
          <w:lang w:eastAsia="zh-CN"/>
          <w14:textOutline w14:w="5791" w14:cap="flat" w14:cmpd="sng">
            <w14:solidFill>
              <w14:srgbClr w14:val="000000"/>
            </w14:solidFill>
            <w14:prstDash w14:val="solid"/>
            <w14:miter w14:val="0"/>
          </w14:textOutline>
        </w:rPr>
        <w:t>：</w:t>
      </w:r>
    </w:p>
    <w:p w14:paraId="5E9DCB95">
      <w:pPr>
        <w:widowControl/>
        <w:kinsoku w:val="0"/>
        <w:adjustRightInd w:val="0"/>
        <w:snapToGrid w:val="0"/>
        <w:spacing w:before="0" w:after="0"/>
        <w:ind w:left="0" w:right="0"/>
        <w:jc w:val="center"/>
        <w:textAlignment w:val="baseline"/>
        <w:rPr>
          <w:rFonts w:hint="eastAsia" w:ascii="仿宋" w:hAnsi="仿宋" w:eastAsia="仿宋" w:cs="仿宋"/>
          <w:b/>
          <w:bCs/>
          <w:snapToGrid w:val="0"/>
          <w:color w:val="000000"/>
          <w:kern w:val="0"/>
          <w:sz w:val="30"/>
          <w:szCs w:val="30"/>
          <w:lang w:val="en-US" w:eastAsia="zh-CN" w:bidi="ar"/>
        </w:rPr>
      </w:pPr>
      <w:r>
        <w:rPr>
          <w:rFonts w:hint="eastAsia" w:ascii="仿宋" w:hAnsi="仿宋" w:eastAsia="仿宋" w:cs="仿宋"/>
          <w:b/>
          <w:bCs/>
          <w:snapToGrid w:val="0"/>
          <w:color w:val="000000"/>
          <w:kern w:val="0"/>
          <w:sz w:val="30"/>
          <w:szCs w:val="30"/>
          <w:lang w:val="en-US" w:eastAsia="zh-CN" w:bidi="ar"/>
        </w:rPr>
        <w:t>2023年度南京市广播电视监测站部门整体绩效评价指标体系得分</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5"/>
        <w:gridCol w:w="1067"/>
        <w:gridCol w:w="1531"/>
        <w:gridCol w:w="3131"/>
        <w:gridCol w:w="721"/>
        <w:gridCol w:w="1031"/>
        <w:gridCol w:w="4269"/>
        <w:gridCol w:w="1150"/>
        <w:gridCol w:w="912"/>
      </w:tblGrid>
      <w:tr w14:paraId="4C075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blHeader/>
        </w:trPr>
        <w:tc>
          <w:tcPr>
            <w:tcW w:w="36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E82921">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一级指标</w:t>
            </w:r>
          </w:p>
        </w:tc>
        <w:tc>
          <w:tcPr>
            <w:tcW w:w="3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2A057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二级指标</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2B694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三级指标</w:t>
            </w:r>
          </w:p>
        </w:tc>
        <w:tc>
          <w:tcPr>
            <w:tcW w:w="1051" w:type="pct"/>
            <w:tcBorders>
              <w:top w:val="single" w:color="000000" w:sz="8" w:space="0"/>
              <w:left w:val="nil"/>
              <w:bottom w:val="single" w:color="000000" w:sz="8" w:space="0"/>
              <w:right w:val="single" w:color="000000" w:sz="8" w:space="0"/>
            </w:tcBorders>
            <w:shd w:val="clear" w:color="auto" w:fill="auto"/>
            <w:vAlign w:val="center"/>
          </w:tcPr>
          <w:p w14:paraId="2AF369C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指标解释</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40288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权重</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10F6E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指标值</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D7171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评分标准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EFDF7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实际值</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D9C51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得分</w:t>
            </w:r>
          </w:p>
        </w:tc>
      </w:tr>
      <w:tr w14:paraId="02BA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trPr>
        <w:tc>
          <w:tcPr>
            <w:tcW w:w="36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5CA4D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决策</w:t>
            </w: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BE0D6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计划制定</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70EE2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工作计划制定健全性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6FD68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部门（单位）本年度工作计划是否明确，用以反映和考察工作计划制定情况的健全程度。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F733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37AF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B8D89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1.是否有明确的工作计划制定，工作计划制定得1/2权重分；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2.工作计划与实际工作内容是否具有相关性；相关得1/2权重分。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96FD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028F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2EB8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809FB9">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2C6C4A">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A4B8E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中长期规划制定健全性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D3689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部门（单位）是否有明确的中长期规划，用以反映和考察中长期规划的健全情况。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FA68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BB21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08BB9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1.考察部门是否制定了明确的中长期规划，包括总体目标、工作内容、时间进度等，部门规划是否涵盖了部门全部职能，并与部门职能相匹配；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2、考察部门是否具有明确的年度工作计划，包括总体目标、实施内容、时间、资金、人员等，年度工作计划是否与部门中长期战略相衔接；                                                 3.计划、目标是否与社会需求相匹配。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以上评价要点各占1/3权重，每个要点执行情况分好、中、差三档，按100%-80%（含）、80%-60%（含）、60%-0%评分。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66FA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1E2B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2ED77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504C5A">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59FAE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目标设定</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01109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绩效目标合理性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16A84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项目所设定的绩效目标是否依据充分，是否符合客观实际，用以反映和考核项目绩效目标与项目实施的相符情况。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DD23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297D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合理</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8F610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1.是否符合国家法律法规、国民经济和社会发展总体规划、部门“三定”方案确定的职责；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2.是否符合部门制定的中长期规划和年度工作计；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3.是否与社会需求相匹配；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4.是否与本年度部门预算资金相匹。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以上评价要点各占1/4权重，每个要点执行情况分好、中、差三档，按100%-80%（含）、80%-60%（含）、60%-0%评分。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DC9F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合理</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7E71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0A373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9BA8B0">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2D7050">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0C77E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绩效目标明确性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3951C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依据绩效目标设定的绩效指标是否清晰、细化、可衡量等，用以反映和考核项目绩效目标的明细化情况。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825A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E331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明确</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D1CD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1.是否将部门整体预算绩效目标细化分解为具体的工作任务；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2.是否通过清晰、可衡量的量化指标值予以体现；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3.是否与部门年度重点工作任务数相对应，并突出了核心绩效指标。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以上评价要点各占1/3权重，每个要点执行情况分好、中、差三档，按100%-80%（含）、80%-60%（含）、60%-0%评分。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4CE1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明确</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79CE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233DF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9E9FE7">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103E7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预算编制</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695EA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预算编制科学性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EA80D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项目预算编制是否经过科学论证、有明确标准，资金额度与年度目标是否相适应，用以反映和考核项目预算编制的科学性、合理性情况。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4B90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B377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科学</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98791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1.基本支出及项目支出的预算编制依据是否充分，符合法律法规、部门职责、发展规划以及相关政策；</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2.基本支出预算是否按照规定标准编制；各项目预算测算依据是否充分，是否与工作任务相匹配，并经过科学论证；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3.重点支出是否有保障；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4.部门内容项目之间是否存在重复交叉，与其他部门项目是否存在重复交叉。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以上评价要点各占1/4权重，每个要点执行情况分好、中、差三档，按100%-80%（含）、80%-60%（含）、60%-0%评分。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CBE0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科学</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0C39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54962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97927F">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C656CC">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7798D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预算编制规范性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132A1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部门（单位）预算管理是否规范，用以反映和考核预算执行情况。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3937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BB79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8A444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1.部门预算是否严格按照财政部门关于预算编制的时间和流程执行；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2.各项目是否按照规定的程序申请设立，事前是否经过必要的可行性研究、专家论证、风险评估、绩效评估、集体决策等；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3.审批文件、材料是否符合相关要求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以上评价要点各占1/3权重，每个要点执行情况分好、中、差三档，按100%-80%（含）、80%-60%（含）、60%-0%评分。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6E6C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5147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0AFB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5" w:hRule="atLeast"/>
        </w:trPr>
        <w:tc>
          <w:tcPr>
            <w:tcW w:w="36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DDC0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过程</w:t>
            </w: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04D72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预算执行</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94F62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非税收入预算完成率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28195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非税收入预算资金是否按照计划执行，用以反映或考核项目预算执行情况。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65D1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717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A397E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非税收入预算完成率=（非税收入实际完成数/非税收入预算数）×100%。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非税收入实际完成数：部门（单位）本年度实际完成的非税收入数。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预算数：本年度部门（单位）编制的非税收入预算数。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评分规则：得分=非税收入预算完成率×分值。</w:t>
            </w:r>
          </w:p>
        </w:tc>
        <w:tc>
          <w:tcPr>
            <w:tcW w:w="386" w:type="pct"/>
            <w:tcBorders>
              <w:top w:val="nil"/>
              <w:left w:val="nil"/>
              <w:bottom w:val="single" w:color="000000" w:sz="8" w:space="0"/>
              <w:right w:val="single" w:color="000000" w:sz="8" w:space="0"/>
            </w:tcBorders>
            <w:shd w:val="clear" w:color="auto" w:fill="auto"/>
            <w:vAlign w:val="center"/>
          </w:tcPr>
          <w:p w14:paraId="4D6FDC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A676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77B05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3BC0F1">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20B1DC">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9A74F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政府采购执行率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FD6FC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政府采购资金是否按照计划执行，用以反映或考核政府采购执行情况。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02F8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46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991D6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预算执行率=（预算执行数/预算数）×100%。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预算执行数：部门（单位）本年度实际完成的预算数。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预算数：财政部门批复的本年度部门（单位）预算数。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评分规则：得分=预算执行率×分值。</w:t>
            </w:r>
          </w:p>
        </w:tc>
        <w:tc>
          <w:tcPr>
            <w:tcW w:w="386" w:type="pct"/>
            <w:tcBorders>
              <w:top w:val="nil"/>
              <w:left w:val="nil"/>
              <w:bottom w:val="single" w:color="000000" w:sz="8" w:space="0"/>
              <w:right w:val="single" w:color="000000" w:sz="8" w:space="0"/>
            </w:tcBorders>
            <w:shd w:val="clear" w:color="auto" w:fill="auto"/>
            <w:vAlign w:val="center"/>
          </w:tcPr>
          <w:p w14:paraId="49DA7A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7DD6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5933C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85B672">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BD2D8A">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4D8B2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“三公经费”变动率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4C15B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考量部门（单位）本年度“三公经费”实际支出数与上年度实际支出数的变动率，用以反映和考核部门（单位）对“三公经费”的实际控制程度。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3D1D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13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63DD1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“三公经费”变动率=[（本年度“三公经费”总额-上年度“三公经费”总额）/上年度“三公经费”总额]×100%。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“三公经费”：年度预算安排的因公出国（境）费、公务车辆购置及运行费和公务招待费。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1.比率≤0%，得满分；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2.比率＞0%，不得分。</w:t>
            </w:r>
          </w:p>
        </w:tc>
        <w:tc>
          <w:tcPr>
            <w:tcW w:w="386" w:type="pct"/>
            <w:tcBorders>
              <w:top w:val="nil"/>
              <w:left w:val="nil"/>
              <w:bottom w:val="single" w:color="000000" w:sz="8" w:space="0"/>
              <w:right w:val="single" w:color="000000" w:sz="8" w:space="0"/>
            </w:tcBorders>
            <w:shd w:val="clear" w:color="auto" w:fill="auto"/>
            <w:vAlign w:val="center"/>
          </w:tcPr>
          <w:p w14:paraId="188426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FE92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5F49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B695C6">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CF2B5D">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6113A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公用经费控制率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4B9E7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考量部门（单位）本年度公用经费实际支出数与预计安排数的比例，用以反映和考核部门（单位）对公用经费的实际控制程度。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A680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EF3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B87EE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公用经费控制率=（实际支出公用经费总额/预算安排公用经费总额）×100%。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1.比率≤100%，得满分；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2.比率＞100%，不得分。</w:t>
            </w:r>
          </w:p>
        </w:tc>
        <w:tc>
          <w:tcPr>
            <w:tcW w:w="386" w:type="pct"/>
            <w:tcBorders>
              <w:top w:val="nil"/>
              <w:left w:val="nil"/>
              <w:bottom w:val="single" w:color="000000" w:sz="8" w:space="0"/>
              <w:right w:val="single" w:color="000000" w:sz="8" w:space="0"/>
            </w:tcBorders>
            <w:shd w:val="clear" w:color="auto" w:fill="auto"/>
            <w:vAlign w:val="center"/>
          </w:tcPr>
          <w:p w14:paraId="05A1F6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EC0E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42786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AC5083">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3854EB">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F5347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结转结余率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7A38C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部门（单位）本年度结转结余总额与支出预算数的比率，用以反映和考核部门（单位）对本年度结转结余资金的实际控制程度。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4D94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EA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91564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结转结余率=结转结余总额/调整预算数×100%。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结转结余总额：部门（单位）本年度的结转资金与结余资金之和（以决算数为准，“三公”经费未执行数和政府采购节约资金等视同已支出）。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1.比率=0%，得满分；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2.10%≤比率＜0%，每增加1%，扣10%的权重分；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3.比率＞10%，不得分。</w:t>
            </w:r>
          </w:p>
        </w:tc>
        <w:tc>
          <w:tcPr>
            <w:tcW w:w="386" w:type="pct"/>
            <w:tcBorders>
              <w:top w:val="nil"/>
              <w:left w:val="nil"/>
              <w:bottom w:val="single" w:color="000000" w:sz="8" w:space="0"/>
              <w:right w:val="single" w:color="000000" w:sz="8" w:space="0"/>
            </w:tcBorders>
            <w:shd w:val="clear" w:color="auto" w:fill="auto"/>
            <w:vAlign w:val="center"/>
          </w:tcPr>
          <w:p w14:paraId="0A1DC8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96DD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401B8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122BB8">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EB61EA">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D992D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预算执行率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DB35D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部门（单位）本年度预算完成数与预算数的比率，用以反映和考核部门（单位）预算完成程度。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936D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15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B7F85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预算执行率=（预算完成数/预算数）×100%；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预算完成数：部门（单位）本年度实际完成的预算数；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预算数：财政部门批复的本年度部门（单位）预算数；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预算执行率达到或超过 100%，得满分；在100%以下则按预算执行率与目标值的比值，乘以权重计分。</w:t>
            </w:r>
          </w:p>
        </w:tc>
        <w:tc>
          <w:tcPr>
            <w:tcW w:w="386" w:type="pct"/>
            <w:tcBorders>
              <w:top w:val="nil"/>
              <w:left w:val="nil"/>
              <w:bottom w:val="single" w:color="000000" w:sz="8" w:space="0"/>
              <w:right w:val="single" w:color="000000" w:sz="8" w:space="0"/>
            </w:tcBorders>
            <w:shd w:val="clear" w:color="auto" w:fill="auto"/>
            <w:vAlign w:val="center"/>
          </w:tcPr>
          <w:p w14:paraId="035B9D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95.78%</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97FD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1.92 </w:t>
            </w:r>
          </w:p>
        </w:tc>
      </w:tr>
      <w:tr w14:paraId="5DB9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443CE4">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BC8EAF">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7C77F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预算调整率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65C69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部门（单位）本年度预算调整情况，用以反映和考核部门（单位）预算调整程度。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E008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EB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2399E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预算调整率=ABS（新预算的金额-原预算的金额）/原预算金额*100%。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①预算调整率等于0%，得满分；②0＜预算调整率＜20%时，得1/2权重分；③预算调整率≥20%时，计0分。</w:t>
            </w:r>
          </w:p>
        </w:tc>
        <w:tc>
          <w:tcPr>
            <w:tcW w:w="386" w:type="pct"/>
            <w:tcBorders>
              <w:top w:val="nil"/>
              <w:left w:val="nil"/>
              <w:bottom w:val="single" w:color="000000" w:sz="8" w:space="0"/>
              <w:right w:val="single" w:color="000000" w:sz="8" w:space="0"/>
            </w:tcBorders>
            <w:shd w:val="clear" w:color="auto" w:fill="auto"/>
            <w:noWrap/>
            <w:vAlign w:val="center"/>
          </w:tcPr>
          <w:p w14:paraId="12A8B3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C070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r>
      <w:tr w14:paraId="7C43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5963B8">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7461E2">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38933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支付进度符合率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81DD2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部门（单位）本年项目资金支付是否符合预计程度，用以反映和考核部门预算执行的及时性和均衡性程度。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25AE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A24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BA7A2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支付进度符合率=（实际支付进度/既定支付进度）×100%。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实际支付进度：部门（单位）在某一时点（一般为半年度）的支出预算执行总数与年度支出预算数的比率。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既定支付进度：由部门（单位）在申报部门整体绩效目标时，参照序时支付进度、前三年支付进度、同级部门平均支付进度水平等确定的，在某一时点（一般为半年度）应达到的支付进度（比率）。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评分规则：得分=支付进度符合率×分值。</w:t>
            </w:r>
          </w:p>
        </w:tc>
        <w:tc>
          <w:tcPr>
            <w:tcW w:w="386" w:type="pct"/>
            <w:tcBorders>
              <w:top w:val="nil"/>
              <w:left w:val="nil"/>
              <w:bottom w:val="single" w:color="000000" w:sz="8" w:space="0"/>
              <w:right w:val="single" w:color="000000" w:sz="8" w:space="0"/>
            </w:tcBorders>
            <w:shd w:val="clear" w:color="auto" w:fill="auto"/>
            <w:noWrap/>
            <w:vAlign w:val="center"/>
          </w:tcPr>
          <w:p w14:paraId="013B76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97%</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E1E7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1.93 </w:t>
            </w:r>
          </w:p>
        </w:tc>
      </w:tr>
      <w:tr w14:paraId="7626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162D10">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B26CF7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预算管理</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3E8D0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预算管理制度健全性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D2DEC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考核部门（单位）预算管理制度的健全程度。</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6FDA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8B37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C74D2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①制定或具有预算管理制度计1/2权重分；②管理制度科学健全计1/2权重分。</w:t>
            </w:r>
          </w:p>
        </w:tc>
        <w:tc>
          <w:tcPr>
            <w:tcW w:w="386" w:type="pct"/>
            <w:tcBorders>
              <w:top w:val="nil"/>
              <w:left w:val="nil"/>
              <w:bottom w:val="single" w:color="000000" w:sz="8" w:space="0"/>
              <w:right w:val="single" w:color="000000" w:sz="8" w:space="0"/>
            </w:tcBorders>
            <w:shd w:val="clear" w:color="auto" w:fill="auto"/>
            <w:vAlign w:val="center"/>
          </w:tcPr>
          <w:p w14:paraId="7078ED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4D7A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7362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1F3918">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C80F0B">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CEA56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非税收入管理合规性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BB6A8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考核部门（单位）非税收入管理是否合规。</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5F78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2B73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合规</w:t>
            </w:r>
          </w:p>
        </w:tc>
        <w:tc>
          <w:tcPr>
            <w:tcW w:w="1433" w:type="pct"/>
            <w:tcBorders>
              <w:top w:val="nil"/>
              <w:left w:val="nil"/>
              <w:bottom w:val="single" w:color="000000" w:sz="8" w:space="0"/>
              <w:right w:val="single" w:color="000000" w:sz="8" w:space="0"/>
            </w:tcBorders>
            <w:shd w:val="clear" w:color="auto" w:fill="auto"/>
            <w:vAlign w:val="center"/>
          </w:tcPr>
          <w:p w14:paraId="24588DE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非税收入管理合规得满分，较合规酌情给分，不合规不给分。</w:t>
            </w:r>
          </w:p>
        </w:tc>
        <w:tc>
          <w:tcPr>
            <w:tcW w:w="386" w:type="pct"/>
            <w:tcBorders>
              <w:top w:val="nil"/>
              <w:left w:val="nil"/>
              <w:bottom w:val="single" w:color="000000" w:sz="8" w:space="0"/>
              <w:right w:val="single" w:color="000000" w:sz="8" w:space="0"/>
            </w:tcBorders>
            <w:shd w:val="clear" w:color="auto" w:fill="auto"/>
            <w:vAlign w:val="center"/>
          </w:tcPr>
          <w:p w14:paraId="3E5171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合规</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13A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2284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BBF927">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C0D82D">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225DF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预决算信息公开度</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7647E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部门（单位）是否公开预决算信息。</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C2FA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6153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w:t>
            </w:r>
          </w:p>
        </w:tc>
        <w:tc>
          <w:tcPr>
            <w:tcW w:w="1433" w:type="pct"/>
            <w:tcBorders>
              <w:top w:val="nil"/>
              <w:left w:val="nil"/>
              <w:bottom w:val="single" w:color="000000" w:sz="8" w:space="0"/>
              <w:right w:val="single" w:color="000000" w:sz="8" w:space="0"/>
            </w:tcBorders>
            <w:shd w:val="clear" w:color="auto" w:fill="auto"/>
            <w:vAlign w:val="center"/>
          </w:tcPr>
          <w:p w14:paraId="2139040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预决算信息全面公开得满分，部分公开酌情给分，不公开不给分。</w:t>
            </w:r>
          </w:p>
        </w:tc>
        <w:tc>
          <w:tcPr>
            <w:tcW w:w="386" w:type="pct"/>
            <w:tcBorders>
              <w:top w:val="nil"/>
              <w:left w:val="nil"/>
              <w:bottom w:val="single" w:color="000000" w:sz="8" w:space="0"/>
              <w:right w:val="single" w:color="000000" w:sz="8" w:space="0"/>
            </w:tcBorders>
            <w:shd w:val="clear" w:color="auto" w:fill="auto"/>
            <w:vAlign w:val="center"/>
          </w:tcPr>
          <w:p w14:paraId="377DA6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5A27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430ED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0E5BF9">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5C685A">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F04C5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基础信息完善性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CB329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部门（单位）基础信息是否完善。</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FB93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6C65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完善</w:t>
            </w:r>
          </w:p>
        </w:tc>
        <w:tc>
          <w:tcPr>
            <w:tcW w:w="1433" w:type="pct"/>
            <w:tcBorders>
              <w:top w:val="nil"/>
              <w:left w:val="nil"/>
              <w:bottom w:val="single" w:color="000000" w:sz="8" w:space="0"/>
              <w:right w:val="single" w:color="000000" w:sz="8" w:space="0"/>
            </w:tcBorders>
            <w:shd w:val="clear" w:color="auto" w:fill="auto"/>
            <w:vAlign w:val="center"/>
          </w:tcPr>
          <w:p w14:paraId="78C9266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部门基础信息完善得满分，较完善酌情给分，否则不给分。</w:t>
            </w:r>
          </w:p>
        </w:tc>
        <w:tc>
          <w:tcPr>
            <w:tcW w:w="386" w:type="pct"/>
            <w:tcBorders>
              <w:top w:val="nil"/>
              <w:left w:val="nil"/>
              <w:bottom w:val="single" w:color="000000" w:sz="8" w:space="0"/>
              <w:right w:val="single" w:color="000000" w:sz="8" w:space="0"/>
            </w:tcBorders>
            <w:shd w:val="clear" w:color="auto" w:fill="auto"/>
            <w:vAlign w:val="center"/>
          </w:tcPr>
          <w:p w14:paraId="1363B2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完善</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971E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69156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23201C">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42A884">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F678A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绩效管理覆盖率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71C66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考核部门（单位）绩效管理是否全覆盖。</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A1EB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A7B1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nil"/>
              <w:left w:val="nil"/>
              <w:bottom w:val="single" w:color="000000" w:sz="8" w:space="0"/>
              <w:right w:val="single" w:color="000000" w:sz="8" w:space="0"/>
            </w:tcBorders>
            <w:shd w:val="clear" w:color="auto" w:fill="auto"/>
            <w:vAlign w:val="center"/>
          </w:tcPr>
          <w:p w14:paraId="2968D9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绩效管理覆盖率=（纳入全过程绩效管理的资金数/预算数）×100%。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评分规则：得分=绩效管理覆盖率×分值；绩效管理覆盖率≤60%不得分。</w:t>
            </w:r>
          </w:p>
        </w:tc>
        <w:tc>
          <w:tcPr>
            <w:tcW w:w="386" w:type="pct"/>
            <w:tcBorders>
              <w:top w:val="nil"/>
              <w:left w:val="nil"/>
              <w:bottom w:val="single" w:color="000000" w:sz="8" w:space="0"/>
              <w:right w:val="single" w:color="000000" w:sz="8" w:space="0"/>
            </w:tcBorders>
            <w:shd w:val="clear" w:color="auto" w:fill="auto"/>
            <w:noWrap/>
            <w:vAlign w:val="center"/>
          </w:tcPr>
          <w:p w14:paraId="5EB7F6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3C69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2368A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442FC8">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C78FFE">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21112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资金使用合规性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E04C3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资金使用是否合规。</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4B0B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E763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合规</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209A7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1.资金管理使用（包括收入与支出）是否符合国家财经法规和相关管理制度的规定，是否存在截留、挤占、挪用、虚列支出等非专款专用的情况；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2.资金的收缴和拨付是否有完整的程序和手续；</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3.公用经费是否存在超标准支出情况，项目支出与公用经费是否存在重复交叉。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以上评价要点各占1/3权重，每个要点执行情况分好、中、差三档，按100%-80%（含）、80%-60%（含）、60%-0%评分。</w:t>
            </w:r>
          </w:p>
        </w:tc>
        <w:tc>
          <w:tcPr>
            <w:tcW w:w="386" w:type="pct"/>
            <w:tcBorders>
              <w:top w:val="nil"/>
              <w:left w:val="nil"/>
              <w:bottom w:val="single" w:color="000000" w:sz="8" w:space="0"/>
              <w:right w:val="single" w:color="000000" w:sz="8" w:space="0"/>
            </w:tcBorders>
            <w:shd w:val="clear" w:color="auto" w:fill="auto"/>
            <w:vAlign w:val="center"/>
          </w:tcPr>
          <w:p w14:paraId="1490BF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合规</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C2F5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2E4C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449965">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7B5BF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资产管理</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E547F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资产管理规范性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DA77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部门（单位）资产管理是否规范，用以反映和考核资产是否保存完整、使用合规、安全运行情况。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7AF2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F513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BF51B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1.资产保存是否完整，是否按规定流程报请使用；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2.资产配置是否合理；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3.资产处置是否规范；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4.资产是否经清查和统计，账务管理是否合规，是否帐实相符；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5.资产是否有偿使用及处置收入及时足额上缴。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以上评价要点各占1/5权重，每个要点执行情况分好、中、差三档，按100%-80%（含）、80%-60%（含）、60%-0%评分。</w:t>
            </w:r>
          </w:p>
        </w:tc>
        <w:tc>
          <w:tcPr>
            <w:tcW w:w="386" w:type="pct"/>
            <w:tcBorders>
              <w:top w:val="nil"/>
              <w:left w:val="nil"/>
              <w:bottom w:val="single" w:color="000000" w:sz="8" w:space="0"/>
              <w:right w:val="single" w:color="000000" w:sz="8" w:space="0"/>
            </w:tcBorders>
            <w:shd w:val="clear" w:color="auto" w:fill="auto"/>
            <w:vAlign w:val="center"/>
          </w:tcPr>
          <w:p w14:paraId="3AE8B9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5D18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r>
      <w:tr w14:paraId="3196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2F820D">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518963">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C053B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固定资产利用率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D8971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部门（单位）固定资产利用是否充分，用以反映和考核资产使用情况。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AA5D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B2CB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5D2BE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固定资产利用率=（实际在用固定资产总额/所有固定资产总额）×100%。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评分规则：得分=固定资产利用率×分值。</w:t>
            </w:r>
          </w:p>
        </w:tc>
        <w:tc>
          <w:tcPr>
            <w:tcW w:w="386" w:type="pct"/>
            <w:tcBorders>
              <w:top w:val="nil"/>
              <w:left w:val="nil"/>
              <w:bottom w:val="single" w:color="000000" w:sz="8" w:space="0"/>
              <w:right w:val="single" w:color="000000" w:sz="8" w:space="0"/>
            </w:tcBorders>
            <w:shd w:val="clear" w:color="auto" w:fill="auto"/>
            <w:vAlign w:val="center"/>
          </w:tcPr>
          <w:p w14:paraId="5DE5B3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D330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4B8A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84E2E3">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27BDD9">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DDD90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资产管理制度健全性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197FF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部门（单位）为加强资产管理、规范资产管理行为而制定的管理制度是否健全完整，用以反映和考核部门（单位）资产管理制度对完成主要职责或促进社会发展的保障情况。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F571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1D84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E582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1.是否已制定或具有资产管理制度；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2.相关资产管理制度是否合法、合规、完整；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3.相关资产管理制度是否得到有效执行。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评分规则：以上评价要点各占1/3权重，每个要点执行情况分好、中、差三档，按100%-80%（含）、80%-60%（含）、60%-0%评分。</w:t>
            </w:r>
          </w:p>
        </w:tc>
        <w:tc>
          <w:tcPr>
            <w:tcW w:w="386" w:type="pct"/>
            <w:tcBorders>
              <w:top w:val="nil"/>
              <w:left w:val="nil"/>
              <w:bottom w:val="single" w:color="000000" w:sz="8" w:space="0"/>
              <w:right w:val="single" w:color="000000" w:sz="8" w:space="0"/>
            </w:tcBorders>
            <w:shd w:val="clear" w:color="auto" w:fill="auto"/>
            <w:vAlign w:val="center"/>
          </w:tcPr>
          <w:p w14:paraId="3F8FB2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A176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5ADE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0F8F6E">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D5680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项目管理</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96D86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项目管理制度执行规范性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9DC26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部门（单位）资产管理是否规范，用以反映和考核资产是否保存完整、使用合规、安全运行情况。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E46A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9320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B5FB8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1.项目管理工作机制是否健全，沟通协调是否顺畅；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2.项目是否按照要求规范严格地执行所有的制度内容，包括可行性论证、概算、预算、施工设计、资金拨付、组织申报、政府采购、招投标、监理、中期检查、竣工验收、公开公示等；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3.是否按要求开展监督检查和绩效评价。</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评分规则：以上评价要点各占1/3权重，每个要点执行情况分好、中、差三档，按100%-80%（含）、80%-60%（含）、60%-0%评分。</w:t>
            </w:r>
          </w:p>
        </w:tc>
        <w:tc>
          <w:tcPr>
            <w:tcW w:w="386" w:type="pct"/>
            <w:tcBorders>
              <w:top w:val="nil"/>
              <w:left w:val="nil"/>
              <w:bottom w:val="single" w:color="000000" w:sz="8" w:space="0"/>
              <w:right w:val="single" w:color="000000" w:sz="8" w:space="0"/>
            </w:tcBorders>
            <w:shd w:val="clear" w:color="auto" w:fill="auto"/>
            <w:vAlign w:val="center"/>
          </w:tcPr>
          <w:p w14:paraId="4DA0EB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1644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526A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4C7249">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EF2728">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96C14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项目管理制度健全性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E59B9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部门（单位）为加强项目管理，规范项目运行活动而制定的项目管理制度是否健全完整，项目管理制度用以反映对完成项目运作或促进社会发展的保障情况。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BDCF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CF82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372C8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1.各项目是否制定项目管理制度；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2.各项目管理制度是否合法、合规、内容完整，包括职责分工、项目申报、公示、实施内容、实施进度、实施标准、资金补助标准、资金拨付时间、监督检查、绩效评价、协调机制等。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评分规则：以上评价要点各占1/2权重，每个要点执行情况分好、中、差三档，按100%-80%（含）、80%-60%（含）、60%-0%评分。</w:t>
            </w:r>
          </w:p>
        </w:tc>
        <w:tc>
          <w:tcPr>
            <w:tcW w:w="386" w:type="pct"/>
            <w:tcBorders>
              <w:top w:val="nil"/>
              <w:left w:val="nil"/>
              <w:bottom w:val="single" w:color="000000" w:sz="8" w:space="0"/>
              <w:right w:val="single" w:color="000000" w:sz="8" w:space="0"/>
            </w:tcBorders>
            <w:shd w:val="clear" w:color="auto" w:fill="auto"/>
            <w:vAlign w:val="center"/>
          </w:tcPr>
          <w:p w14:paraId="0BB390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6C4F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2CE3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E70F66">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5350D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人员管理</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9CF1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人员管理制度执行有效性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80353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部门（单位）为加强人事管理、规范人事管理行为而制定的管理制度是否执行有效，用以反映和考核部门（单位）人事管理制度对完成主要职责或促进社会发展的保障情况。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2516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7F02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有效</w:t>
            </w:r>
          </w:p>
        </w:tc>
        <w:tc>
          <w:tcPr>
            <w:tcW w:w="1433" w:type="pct"/>
            <w:tcBorders>
              <w:top w:val="nil"/>
              <w:left w:val="nil"/>
              <w:bottom w:val="single" w:color="000000" w:sz="8" w:space="0"/>
              <w:right w:val="single" w:color="000000" w:sz="8" w:space="0"/>
            </w:tcBorders>
            <w:shd w:val="clear" w:color="auto" w:fill="auto"/>
            <w:vAlign w:val="center"/>
          </w:tcPr>
          <w:p w14:paraId="1699CDD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相关人事管理制度有效执行，计满分，否则按实际执行情况得分。</w:t>
            </w:r>
          </w:p>
        </w:tc>
        <w:tc>
          <w:tcPr>
            <w:tcW w:w="386" w:type="pct"/>
            <w:tcBorders>
              <w:top w:val="nil"/>
              <w:left w:val="nil"/>
              <w:bottom w:val="single" w:color="000000" w:sz="8" w:space="0"/>
              <w:right w:val="single" w:color="000000" w:sz="8" w:space="0"/>
            </w:tcBorders>
            <w:shd w:val="clear" w:color="auto" w:fill="auto"/>
            <w:vAlign w:val="center"/>
          </w:tcPr>
          <w:p w14:paraId="67CB36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有效</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E7D2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0A70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22A22F">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DCC9E0">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7A040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在职人员控制率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23CA9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部门（单位）为加强人事管理、按照上级规定控制在职人员数量，用以反映和考核部门（单位）人员成本的控制情况。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AA76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3372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nil"/>
              <w:left w:val="nil"/>
              <w:bottom w:val="single" w:color="000000" w:sz="8" w:space="0"/>
              <w:right w:val="single" w:color="000000" w:sz="8" w:space="0"/>
            </w:tcBorders>
            <w:shd w:val="clear" w:color="auto" w:fill="auto"/>
            <w:vAlign w:val="center"/>
          </w:tcPr>
          <w:p w14:paraId="5882543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在职人员控制率=（在职人员数/编制数）×100%；①在职人员控制率=100%，得满分；②80%≤在职人员控制率＜100%得1/2权重分，③在80%以下不计分。</w:t>
            </w:r>
          </w:p>
        </w:tc>
        <w:tc>
          <w:tcPr>
            <w:tcW w:w="386" w:type="pct"/>
            <w:tcBorders>
              <w:top w:val="nil"/>
              <w:left w:val="nil"/>
              <w:bottom w:val="single" w:color="000000" w:sz="8" w:space="0"/>
              <w:right w:val="single" w:color="000000" w:sz="8" w:space="0"/>
            </w:tcBorders>
            <w:shd w:val="clear" w:color="auto" w:fill="auto"/>
            <w:vAlign w:val="center"/>
          </w:tcPr>
          <w:p w14:paraId="26BC18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F77B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05D0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746200">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3FBA2D">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53796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人员管理制度健全性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EBCE1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部门（单位）为加强人事管理、规范人事管理行为而制定的管理制度是否健全完整，用以反映和考核部门（单位）人事管理制度对完成主要职责或促进社会发展的保障情况。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7C5C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B785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E9E08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①制定或具有人事管理制度，计1/4权重分；②相关人事管理制度合法、合规、完整，计1/4权重分；③相关人事管理制度有效执行，计1/2权重分。</w:t>
            </w:r>
          </w:p>
        </w:tc>
        <w:tc>
          <w:tcPr>
            <w:tcW w:w="386" w:type="pct"/>
            <w:tcBorders>
              <w:top w:val="nil"/>
              <w:left w:val="nil"/>
              <w:bottom w:val="single" w:color="000000" w:sz="8" w:space="0"/>
              <w:right w:val="single" w:color="000000" w:sz="8" w:space="0"/>
            </w:tcBorders>
            <w:shd w:val="clear" w:color="auto" w:fill="auto"/>
            <w:vAlign w:val="center"/>
          </w:tcPr>
          <w:p w14:paraId="48591E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健全</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9E40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6A468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83D8E7">
            <w:pPr>
              <w:jc w:val="center"/>
              <w:rPr>
                <w:rFonts w:hint="eastAsia" w:ascii="仿宋" w:hAnsi="仿宋" w:eastAsia="仿宋" w:cs="仿宋"/>
                <w:i w:val="0"/>
                <w:iCs w:val="0"/>
                <w:color w:val="000000"/>
                <w:sz w:val="20"/>
                <w:szCs w:val="20"/>
                <w:u w:val="none"/>
              </w:rPr>
            </w:pP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76EAE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机构建设</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2C455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业务学习与培训及时完成率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F8782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部门（单位）为加强人员业务能力开展的业务学习与培训是否完成，用以反映和考核部门（单位）业务学习与培训及时完成情况。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543D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B0DB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nil"/>
              <w:left w:val="nil"/>
              <w:bottom w:val="single" w:color="000000" w:sz="8" w:space="0"/>
              <w:right w:val="single" w:color="000000" w:sz="8" w:space="0"/>
            </w:tcBorders>
            <w:shd w:val="clear" w:color="auto" w:fill="auto"/>
            <w:vAlign w:val="center"/>
          </w:tcPr>
          <w:p w14:paraId="6454E0D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①完成率=100%，得满分；②80%≤完成率利用率＜100%，计1/2权重分，③小于80%计0分。</w:t>
            </w:r>
          </w:p>
        </w:tc>
        <w:tc>
          <w:tcPr>
            <w:tcW w:w="386" w:type="pct"/>
            <w:tcBorders>
              <w:top w:val="nil"/>
              <w:left w:val="nil"/>
              <w:bottom w:val="single" w:color="000000" w:sz="8" w:space="0"/>
              <w:right w:val="single" w:color="000000" w:sz="8" w:space="0"/>
            </w:tcBorders>
            <w:shd w:val="clear" w:color="auto" w:fill="auto"/>
            <w:vAlign w:val="center"/>
          </w:tcPr>
          <w:p w14:paraId="0E9DE5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BD13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3EC9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5DED96">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09DD24">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815E8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纪检监察工作有效性</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5C4B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部门（单位）纪检监察工作是否有效开展，用以反映纪检监察工作的实施情况。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39C5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B1CE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有效</w:t>
            </w:r>
          </w:p>
        </w:tc>
        <w:tc>
          <w:tcPr>
            <w:tcW w:w="1433" w:type="pct"/>
            <w:tcBorders>
              <w:top w:val="nil"/>
              <w:left w:val="nil"/>
              <w:bottom w:val="single" w:color="000000" w:sz="8" w:space="0"/>
              <w:right w:val="single" w:color="000000" w:sz="8" w:space="0"/>
            </w:tcBorders>
            <w:shd w:val="clear" w:color="auto" w:fill="auto"/>
            <w:vAlign w:val="center"/>
          </w:tcPr>
          <w:p w14:paraId="409EB85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①完成纪检监察工作，未发生重大违纪情况得满分；②发生重大违纪情况计0分。</w:t>
            </w:r>
          </w:p>
        </w:tc>
        <w:tc>
          <w:tcPr>
            <w:tcW w:w="386" w:type="pct"/>
            <w:tcBorders>
              <w:top w:val="nil"/>
              <w:left w:val="nil"/>
              <w:bottom w:val="single" w:color="000000" w:sz="8" w:space="0"/>
              <w:right w:val="single" w:color="000000" w:sz="8" w:space="0"/>
            </w:tcBorders>
            <w:shd w:val="clear" w:color="auto" w:fill="auto"/>
            <w:vAlign w:val="center"/>
          </w:tcPr>
          <w:p w14:paraId="44AA90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有效</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BDB1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689E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FE95CF">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5170EE">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B5997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组织建设工作及时完成率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8B114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部门（单位）组织建设工作是否即时完成，用以衡量组织建设工作完成情况。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3013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4C46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33" w:type="pct"/>
            <w:tcBorders>
              <w:top w:val="nil"/>
              <w:left w:val="nil"/>
              <w:bottom w:val="single" w:color="000000" w:sz="8" w:space="0"/>
              <w:right w:val="single" w:color="000000" w:sz="8" w:space="0"/>
            </w:tcBorders>
            <w:shd w:val="clear" w:color="auto" w:fill="auto"/>
            <w:vAlign w:val="center"/>
          </w:tcPr>
          <w:p w14:paraId="135B5BD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①完成率=100%，得满分；②80%≤完成率利用率＜100%，计1/2权重分，③小于80%计0分。</w:t>
            </w:r>
          </w:p>
        </w:tc>
        <w:tc>
          <w:tcPr>
            <w:tcW w:w="386" w:type="pct"/>
            <w:tcBorders>
              <w:top w:val="nil"/>
              <w:left w:val="nil"/>
              <w:bottom w:val="single" w:color="000000" w:sz="8" w:space="0"/>
              <w:right w:val="single" w:color="000000" w:sz="8" w:space="0"/>
            </w:tcBorders>
            <w:shd w:val="clear" w:color="auto" w:fill="auto"/>
            <w:vAlign w:val="center"/>
          </w:tcPr>
          <w:p w14:paraId="4DA366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268F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r>
      <w:tr w14:paraId="72B0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6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8B53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履职</w:t>
            </w:r>
          </w:p>
        </w:tc>
        <w:tc>
          <w:tcPr>
            <w:tcW w:w="35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74A60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经济效益</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53185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监测广播频率、电视频道数量</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9AD0C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全年监测广播频率、电视频道数量。</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7E54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7BFA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＝25个</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5B7A9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A583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25个</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05B9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r>
      <w:tr w14:paraId="259A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093446">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BC53EE">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4690B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全市广播、电视广告监测条次</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C1E50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全年监测全市广播、电视广告条次。</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4A96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22DF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≥10万条次</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30BEF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79CE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15.01万条次</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7118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r>
      <w:tr w14:paraId="3B30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9CAFB1">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503CB1">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E6A53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监测开办点播业务星级酒店家数</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E0E83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全年监测开办点播业务星级酒店家数。</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CD26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E8A8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≥10个</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F26D5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F8A4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15个</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0ECA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r>
      <w:tr w14:paraId="32C54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0CDE1D">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85FDF8">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87D89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监测视听节目服务网站数量</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90B22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全年监测视听节目服务网站数量。</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20F4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633F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≥150个</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80EC3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C480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203个</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0794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r>
      <w:tr w14:paraId="6440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0DCB8D">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344F75">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EAF60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有线停播、劣播发现率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A70F0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全年有线停播、劣播发现情况。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4D06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5B39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AC97B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7D03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A20A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r>
      <w:tr w14:paraId="1D333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987D0F">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B48F8E">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705EE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无线发射停播发现率</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B5839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全年无线发射停播发现情况。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5048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AC65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C64AB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完成目标数计满分，否则按完成数与目标值的比值乘以权重计分。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7A14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07BB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r>
      <w:tr w14:paraId="2585C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5DC139">
            <w:pPr>
              <w:jc w:val="center"/>
              <w:rPr>
                <w:rFonts w:hint="eastAsia" w:ascii="仿宋" w:hAnsi="仿宋" w:eastAsia="仿宋" w:cs="仿宋"/>
                <w:i w:val="0"/>
                <w:iCs w:val="0"/>
                <w:color w:val="000000"/>
                <w:sz w:val="20"/>
                <w:szCs w:val="20"/>
                <w:u w:val="none"/>
              </w:rPr>
            </w:pPr>
          </w:p>
        </w:tc>
        <w:tc>
          <w:tcPr>
            <w:tcW w:w="35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C172CB">
            <w:pPr>
              <w:jc w:val="left"/>
              <w:rPr>
                <w:rFonts w:hint="eastAsia" w:ascii="仿宋" w:hAnsi="仿宋" w:eastAsia="仿宋" w:cs="仿宋"/>
                <w:i w:val="0"/>
                <w:iCs w:val="0"/>
                <w:color w:val="000000"/>
                <w:sz w:val="20"/>
                <w:szCs w:val="20"/>
                <w:u w:val="none"/>
              </w:rPr>
            </w:pP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BFFD2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安播短信全年发送条次</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5F85F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全年安全播出短信发送条次。</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1C39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5BFE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≥1万条</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BED9A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完成目标数计满分，在目标数以下则每少500条扣1分，扣完为止。</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7D11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9083条</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9766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r>
      <w:tr w14:paraId="6DF46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36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A292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效益</w:t>
            </w:r>
          </w:p>
        </w:tc>
        <w:tc>
          <w:tcPr>
            <w:tcW w:w="3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CE5C0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社会效益</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DEFEE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有良好的社会效益</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4251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反映是否具备良好的社会效益。</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4D4D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D21B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良好</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6385D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具有良好社会效益计4分，否则酌情扣分。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74D0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良好</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5E47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r>
      <w:tr w14:paraId="0CFE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5" w:hRule="atLeast"/>
        </w:trPr>
        <w:tc>
          <w:tcPr>
            <w:tcW w:w="36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72FF6D">
            <w:pPr>
              <w:jc w:val="center"/>
              <w:rPr>
                <w:rFonts w:hint="eastAsia" w:ascii="仿宋" w:hAnsi="仿宋" w:eastAsia="仿宋" w:cs="仿宋"/>
                <w:i w:val="0"/>
                <w:iCs w:val="0"/>
                <w:color w:val="000000"/>
                <w:sz w:val="20"/>
                <w:szCs w:val="20"/>
                <w:u w:val="none"/>
              </w:rPr>
            </w:pPr>
          </w:p>
        </w:tc>
        <w:tc>
          <w:tcPr>
            <w:tcW w:w="3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A5BEA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可持续发展</w:t>
            </w:r>
          </w:p>
        </w:tc>
        <w:tc>
          <w:tcPr>
            <w:tcW w:w="5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12236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应急广播平台操作、日常维护、故障发现与排除等方面业务训练及全网演练，指挥发布流程的梳理规范</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6A3B6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反映部门突发、应急事件处置、管控建设及执行情况。</w:t>
            </w: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26CA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52BD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规范</w:t>
            </w: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0E6F0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应急广播平台操作、日常维护、故障发现与排除等方面业务训练及全网演练，市级应急广播平台指挥发布流程梳理规范计满分，否则视实际情况酌情扣分。</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A4B1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较规范</w:t>
            </w: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6787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r>
      <w:tr w14:paraId="102A9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0EAF662">
            <w:pPr>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10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446874">
            <w:pPr>
              <w:jc w:val="left"/>
              <w:rPr>
                <w:rFonts w:hint="eastAsia" w:ascii="仿宋" w:hAnsi="仿宋" w:eastAsia="仿宋" w:cs="仿宋"/>
                <w:i w:val="0"/>
                <w:iCs w:val="0"/>
                <w:color w:val="000000"/>
                <w:sz w:val="20"/>
                <w:szCs w:val="20"/>
                <w:u w:val="none"/>
              </w:rPr>
            </w:pPr>
          </w:p>
        </w:tc>
        <w:tc>
          <w:tcPr>
            <w:tcW w:w="2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4405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c>
          <w:tcPr>
            <w:tcW w:w="3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6661CF">
            <w:pPr>
              <w:jc w:val="center"/>
              <w:rPr>
                <w:rFonts w:hint="eastAsia" w:ascii="仿宋" w:hAnsi="仿宋" w:eastAsia="仿宋" w:cs="仿宋"/>
                <w:i w:val="0"/>
                <w:iCs w:val="0"/>
                <w:color w:val="000000"/>
                <w:sz w:val="20"/>
                <w:szCs w:val="20"/>
                <w:u w:val="none"/>
              </w:rPr>
            </w:pPr>
          </w:p>
        </w:tc>
        <w:tc>
          <w:tcPr>
            <w:tcW w:w="14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75813F">
            <w:pPr>
              <w:jc w:val="left"/>
              <w:rPr>
                <w:rFonts w:hint="eastAsia" w:ascii="仿宋" w:hAnsi="仿宋" w:eastAsia="仿宋" w:cs="仿宋"/>
                <w:i w:val="0"/>
                <w:iCs w:val="0"/>
                <w:color w:val="000000"/>
                <w:sz w:val="20"/>
                <w:szCs w:val="20"/>
                <w:u w:val="none"/>
              </w:rPr>
            </w:pPr>
          </w:p>
        </w:tc>
        <w:tc>
          <w:tcPr>
            <w:tcW w:w="386" w:type="pct"/>
            <w:tcBorders>
              <w:top w:val="single" w:color="000000" w:sz="8" w:space="0"/>
              <w:left w:val="nil"/>
              <w:bottom w:val="single" w:color="000000" w:sz="8" w:space="0"/>
              <w:right w:val="single" w:color="000000" w:sz="8" w:space="0"/>
            </w:tcBorders>
            <w:shd w:val="clear" w:color="auto" w:fill="auto"/>
            <w:vAlign w:val="center"/>
          </w:tcPr>
          <w:p w14:paraId="5F1C5E77">
            <w:pPr>
              <w:jc w:val="center"/>
              <w:rPr>
                <w:rFonts w:hint="eastAsia" w:ascii="仿宋" w:hAnsi="仿宋" w:eastAsia="仿宋" w:cs="仿宋"/>
                <w:i w:val="0"/>
                <w:iCs w:val="0"/>
                <w:color w:val="000000"/>
                <w:sz w:val="20"/>
                <w:szCs w:val="20"/>
                <w:u w:val="none"/>
              </w:rPr>
            </w:pPr>
          </w:p>
        </w:tc>
        <w:tc>
          <w:tcPr>
            <w:tcW w:w="30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E265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93.85 </w:t>
            </w:r>
          </w:p>
        </w:tc>
      </w:tr>
    </w:tbl>
    <w:p w14:paraId="28AFD7DE">
      <w:pPr>
        <w:spacing w:before="62"/>
        <w:ind w:right="0"/>
        <w:jc w:val="both"/>
        <w:rPr>
          <w:rFonts w:hint="eastAsia" w:ascii="仿宋" w:hAnsi="仿宋" w:eastAsia="仿宋" w:cs="仿宋"/>
          <w:sz w:val="32"/>
          <w:szCs w:val="32"/>
          <w:lang w:eastAsia="zh-CN"/>
        </w:rPr>
      </w:pPr>
    </w:p>
    <w:sectPr>
      <w:footerReference r:id="rId7" w:type="default"/>
      <w:pgSz w:w="16840" w:h="11910" w:orient="landscape"/>
      <w:pgMar w:top="1440" w:right="1080" w:bottom="1440" w:left="1080" w:header="0" w:footer="111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F83E6">
    <w:pPr>
      <w:pStyle w:val="2"/>
      <w:spacing w:before="0"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836DC">
    <w:pPr>
      <w:pStyle w:val="2"/>
      <w:spacing w:before="0"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24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2405" cy="139700"/>
                      </a:xfrm>
                      <a:prstGeom prst="rect">
                        <a:avLst/>
                      </a:prstGeom>
                      <a:noFill/>
                      <a:ln>
                        <a:noFill/>
                      </a:ln>
                    </wps:spPr>
                    <wps:txbx>
                      <w:txbxContent>
                        <w:p w14:paraId="2D5B53F2">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1pt;width:15.15pt;mso-position-horizontal:center;mso-position-horizontal-relative:margin;z-index:251660288;mso-width-relative:page;mso-height-relative:page;" filled="f" stroked="f" coordsize="21600,21600" o:gfxdata="UEsDBAoAAAAAAIdO4kAAAAAAAAAAAAAAAAAEAAAAZHJzL1BLAwQUAAAACACHTuJADB6EDtQAAAAD&#10;AQAADwAAAGRycy9kb3ducmV2LnhtbE2PzU7DMBCE70i8g7VIvVG7qVRByKZCFZwqIdJw4OjE28Rq&#10;vE5j94e3x3CBy0qjGc18W6yvbhBnmoL1jLCYKxDErTeWO4SP+vX+AUSImo0ePBPCFwVYl7c3hc6N&#10;v3BF513sRCrhkGuEPsYxlzK0PTkd5n4kTt7eT07HJKdOmklfUrkbZKbUSjptOS30eqRNT+1hd3II&#10;z59cvdjjW/Ne7Stb14+Kt6sD4uxuoZ5ARLrGvzD84Cd0KBNT409sghgQ0iPx9yZvqZYgGoQsUyDL&#10;Qv5nL78BUEsDBBQAAAAIAIdO4kC98ai/uQEAAHEDAAAOAAAAZHJzL2Uyb0RvYy54bWytU0uOEzEQ&#10;3SNxB8t74k74TiudkVA0CAkB0sABHLc7bcl2WS4n3bkA3IAVG/acK+eYstPJwLCZBRt3uVx+9d4r&#10;9/J6dJbtdUQDvuHzWcWZ9gpa47cN//rl5tkbzjBJ30oLXjf8oJFfr54+WQ6h1gvowbY6MgLxWA+h&#10;4X1KoRYCVa+dxBkE7emwg+hkom3cijbKgdCdFYuqeiUGiG2IoDQiZdenQz4hxscAQtcZpdegdk77&#10;dEKN2spEkrA3AfmqsO06rdKnrkOdmG04KU1lpSYUb/IqVktZb6MMvVETBfkYCg80OWk8Nb1ArWWS&#10;bBfNP1DOqAgIXZopcOIkpDhCKubVA29uexl00UJWY7iYjv8PVn3cf47MtPQSOPPS0cCPP74ff/4+&#10;/vrG5tmeIWBNVbeB6tL4FsZcOuWRkln12EWXv6SH0TmZe7iYq8fEVL50tXhRveRM0dH8+dXrqpgv&#10;7i+HiOmdBsdy0PBIsyuWyv0HTNSQSs8luZeHG2NtmZ/1fyWoMGdEZn5imKM0bsaJ9gbaA6mx7z05&#10;mV/FOYjnYHMOdiGabU90iuYCSZMoZKZXk0f95740vv9TVn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MHoQO1AAAAAMBAAAPAAAAAAAAAAEAIAAAACIAAABkcnMvZG93bnJldi54bWxQSwECFAAUAAAA&#10;CACHTuJAvfGov7kBAABxAwAADgAAAAAAAAABACAAAAAjAQAAZHJzL2Uyb0RvYy54bWxQSwUGAAAA&#10;AAYABgBZAQAATgUAAAAA&#10;">
              <v:fill on="f" focussize="0,0"/>
              <v:stroke on="f"/>
              <v:imagedata o:title=""/>
              <o:lock v:ext="edit" aspectratio="f"/>
              <v:textbox inset="0mm,0mm,0mm,0mm">
                <w:txbxContent>
                  <w:p w14:paraId="2D5B53F2">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00CFC">
    <w:pPr>
      <w:pStyle w:val="2"/>
      <w:spacing w:before="0" w:line="14" w:lineRule="auto"/>
      <w:rPr>
        <w:sz w:val="20"/>
      </w:rPr>
    </w:pPr>
    <w:r>
      <w:pict>
        <v:shape id="_x0000_s4098" o:spid="_x0000_s4098" o:spt="202" type="#_x0000_t202" style="position:absolute;left:0pt;margin-top:0pt;height:11pt;width:15.15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3FCAE79E">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WYxMzI1NTY2Y2JjYmY1YmEzMGRiMWYyMGIwNDdhZjUifQ=="/>
  </w:docVars>
  <w:rsids>
    <w:rsidRoot w:val="00000000"/>
    <w:rsid w:val="01ED2A82"/>
    <w:rsid w:val="04B9484F"/>
    <w:rsid w:val="08F917C3"/>
    <w:rsid w:val="098B38A8"/>
    <w:rsid w:val="09C676BC"/>
    <w:rsid w:val="0AC8794A"/>
    <w:rsid w:val="0D532C44"/>
    <w:rsid w:val="0F881C79"/>
    <w:rsid w:val="1110359C"/>
    <w:rsid w:val="15C02DD2"/>
    <w:rsid w:val="162261B2"/>
    <w:rsid w:val="1DDB4E2D"/>
    <w:rsid w:val="20D845EC"/>
    <w:rsid w:val="27133AE9"/>
    <w:rsid w:val="27FB4AC4"/>
    <w:rsid w:val="2AE8335D"/>
    <w:rsid w:val="2D503593"/>
    <w:rsid w:val="2E980D78"/>
    <w:rsid w:val="332F7EFE"/>
    <w:rsid w:val="357775B9"/>
    <w:rsid w:val="36F65A5B"/>
    <w:rsid w:val="37502851"/>
    <w:rsid w:val="37EAC513"/>
    <w:rsid w:val="3CE279C9"/>
    <w:rsid w:val="44F93EC7"/>
    <w:rsid w:val="48EF3842"/>
    <w:rsid w:val="494618A8"/>
    <w:rsid w:val="4ADC61C4"/>
    <w:rsid w:val="4E4C150B"/>
    <w:rsid w:val="4EBB7AB6"/>
    <w:rsid w:val="4F4BE925"/>
    <w:rsid w:val="56DF0E9E"/>
    <w:rsid w:val="5F7B1EAE"/>
    <w:rsid w:val="5F7BB5B1"/>
    <w:rsid w:val="62791214"/>
    <w:rsid w:val="6A4C30EC"/>
    <w:rsid w:val="6AE97F9D"/>
    <w:rsid w:val="6B7B5F05"/>
    <w:rsid w:val="6DBB5BCD"/>
    <w:rsid w:val="6FEBE422"/>
    <w:rsid w:val="70854D89"/>
    <w:rsid w:val="70C96594"/>
    <w:rsid w:val="740E602F"/>
    <w:rsid w:val="75FF9CA3"/>
    <w:rsid w:val="76D61369"/>
    <w:rsid w:val="76FFBC93"/>
    <w:rsid w:val="78FBE244"/>
    <w:rsid w:val="7D5FA4D8"/>
    <w:rsid w:val="7D7B0889"/>
    <w:rsid w:val="7DF3EC94"/>
    <w:rsid w:val="7DFBD0AE"/>
    <w:rsid w:val="7EBAE7A2"/>
    <w:rsid w:val="7EFB5A30"/>
    <w:rsid w:val="7F75000C"/>
    <w:rsid w:val="7FD667C3"/>
    <w:rsid w:val="7FFFAB53"/>
    <w:rsid w:val="8BF35C9E"/>
    <w:rsid w:val="8FDAB9F8"/>
    <w:rsid w:val="95CFA5AA"/>
    <w:rsid w:val="98EFE5DB"/>
    <w:rsid w:val="9FE74584"/>
    <w:rsid w:val="9FFEADC0"/>
    <w:rsid w:val="ABE7DC79"/>
    <w:rsid w:val="AD7D4293"/>
    <w:rsid w:val="B68D40AB"/>
    <w:rsid w:val="B87BF6E2"/>
    <w:rsid w:val="BF6EE5C8"/>
    <w:rsid w:val="BFF7616D"/>
    <w:rsid w:val="C6AB7C0F"/>
    <w:rsid w:val="D6FBDE2F"/>
    <w:rsid w:val="D8FB0F5D"/>
    <w:rsid w:val="DD1CE211"/>
    <w:rsid w:val="DF172BDC"/>
    <w:rsid w:val="EFEE24BA"/>
    <w:rsid w:val="F2FBAAEF"/>
    <w:rsid w:val="F3EF8642"/>
    <w:rsid w:val="F5EDE53F"/>
    <w:rsid w:val="F9BF3FF0"/>
    <w:rsid w:val="FBA9B02B"/>
    <w:rsid w:val="FFCF38F6"/>
    <w:rsid w:val="FFFF6EF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10">
    <w:name w:val="Default Paragraph Font"/>
    <w:semiHidden/>
    <w:unhideWhenUsed/>
    <w:qFormat/>
    <w:uiPriority w:val="1"/>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pPr>
      <w:spacing w:before="214"/>
    </w:pPr>
    <w:rPr>
      <w:rFonts w:ascii="宋体" w:hAnsi="宋体" w:eastAsia="宋体" w:cs="宋体"/>
      <w:sz w:val="32"/>
      <w:szCs w:val="32"/>
      <w:lang w:val="en-US" w:eastAsia="zh-CN" w:bidi="ar-SA"/>
    </w:rPr>
  </w:style>
  <w:style w:type="paragraph" w:styleId="3">
    <w:name w:val="caption"/>
    <w:basedOn w:val="1"/>
    <w:next w:val="1"/>
    <w:autoRedefine/>
    <w:semiHidden/>
    <w:unhideWhenUsed/>
    <w:qFormat/>
    <w:uiPriority w:val="0"/>
    <w:rPr>
      <w:rFonts w:ascii="Arial" w:hAnsi="Arial" w:eastAsia="黑体"/>
      <w:sz w:val="20"/>
    </w:rPr>
  </w:style>
  <w:style w:type="paragraph" w:styleId="4">
    <w:name w:val="annotation text"/>
    <w:basedOn w:val="1"/>
    <w:autoRedefine/>
    <w:qFormat/>
    <w:uiPriority w:val="0"/>
    <w:pPr>
      <w:jc w:val="left"/>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toc 1"/>
    <w:basedOn w:val="1"/>
    <w:next w:val="1"/>
    <w:autoRedefine/>
    <w:qFormat/>
    <w:uiPriority w:val="0"/>
    <w:pPr>
      <w:spacing w:line="336" w:lineRule="auto"/>
    </w:pPr>
    <w:rPr>
      <w:rFonts w:ascii="宋体" w:hAnsi="宋体" w:eastAsia="仿宋"/>
      <w:b/>
      <w:sz w:val="30"/>
    </w:rPr>
  </w:style>
  <w:style w:type="paragraph" w:styleId="7">
    <w:name w:val="toc 2"/>
    <w:basedOn w:val="1"/>
    <w:next w:val="1"/>
    <w:autoRedefine/>
    <w:qFormat/>
    <w:uiPriority w:val="0"/>
    <w:pPr>
      <w:spacing w:line="336" w:lineRule="auto"/>
      <w:ind w:left="420" w:leftChars="200"/>
    </w:pPr>
    <w:rPr>
      <w:rFonts w:ascii="宋体" w:hAnsi="宋体" w:eastAsia="仿宋"/>
      <w:sz w:val="30"/>
    </w:rPr>
  </w:style>
  <w:style w:type="paragraph" w:styleId="8">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table" w:customStyle="1" w:styleId="11">
    <w:name w:val="Table Normal"/>
    <w:autoRedefine/>
    <w:semiHidden/>
    <w:unhideWhenUsed/>
    <w:qFormat/>
    <w:uiPriority w:val="2"/>
    <w:tblPr>
      <w:tblCellMar>
        <w:top w:w="0" w:type="dxa"/>
        <w:left w:w="0" w:type="dxa"/>
        <w:bottom w:w="0" w:type="dxa"/>
        <w:right w:w="0" w:type="dxa"/>
      </w:tblCellMar>
    </w:tblPr>
  </w:style>
  <w:style w:type="paragraph" w:styleId="12">
    <w:name w:val="List Paragraph"/>
    <w:basedOn w:val="1"/>
    <w:autoRedefine/>
    <w:qFormat/>
    <w:uiPriority w:val="1"/>
    <w:pPr>
      <w:spacing w:before="214"/>
      <w:ind w:left="1002" w:hanging="243"/>
    </w:pPr>
    <w:rPr>
      <w:rFonts w:ascii="宋体" w:hAnsi="宋体" w:eastAsia="宋体" w:cs="宋体"/>
      <w:lang w:val="en-US" w:eastAsia="zh-CN" w:bidi="ar-SA"/>
    </w:rPr>
  </w:style>
  <w:style w:type="paragraph" w:customStyle="1" w:styleId="13">
    <w:name w:val="Table Paragraph"/>
    <w:basedOn w:val="1"/>
    <w:autoRedefine/>
    <w:qFormat/>
    <w:uiPriority w:val="1"/>
    <w:rPr>
      <w:rFonts w:ascii="宋体" w:hAnsi="宋体" w:eastAsia="宋体" w:cs="宋体"/>
      <w:lang w:val="en-US" w:eastAsia="zh-CN" w:bidi="ar-SA"/>
    </w:rPr>
  </w:style>
  <w:style w:type="character" w:customStyle="1" w:styleId="14">
    <w:name w:val="font21"/>
    <w:basedOn w:val="10"/>
    <w:autoRedefine/>
    <w:qFormat/>
    <w:uiPriority w:val="0"/>
    <w:rPr>
      <w:rFonts w:hint="eastAsia" w:ascii="仿宋" w:hAnsi="仿宋" w:eastAsia="仿宋" w:cs="仿宋"/>
      <w:color w:val="000000"/>
      <w:sz w:val="22"/>
      <w:szCs w:val="22"/>
      <w:u w:val="none"/>
    </w:rPr>
  </w:style>
  <w:style w:type="paragraph" w:customStyle="1" w:styleId="15">
    <w:name w:val="WPSOffice手动目录 1"/>
    <w:autoRedefine/>
    <w:qFormat/>
    <w:uiPriority w:val="0"/>
    <w:pPr>
      <w:ind w:leftChars="0"/>
    </w:pPr>
    <w:rPr>
      <w:rFonts w:ascii="Times New Roman" w:hAnsi="Times New Roman" w:eastAsia="宋体" w:cs="Times New Roman"/>
      <w:sz w:val="20"/>
      <w:szCs w:val="20"/>
    </w:rPr>
  </w:style>
  <w:style w:type="paragraph" w:customStyle="1" w:styleId="16">
    <w:name w:val="WPSOffice手动目录 2"/>
    <w:autoRedefine/>
    <w:qFormat/>
    <w:uiPriority w:val="0"/>
    <w:pPr>
      <w:ind w:leftChars="200"/>
    </w:pPr>
    <w:rPr>
      <w:rFonts w:ascii="Times New Roman" w:hAnsi="Times New Roman" w:eastAsia="宋体" w:cs="Times New Roman"/>
      <w:sz w:val="20"/>
      <w:szCs w:val="20"/>
    </w:rPr>
  </w:style>
  <w:style w:type="paragraph" w:customStyle="1" w:styleId="17">
    <w:name w:val="WPSOffice手动目录 3"/>
    <w:autoRedefine/>
    <w:qFormat/>
    <w:uiPriority w:val="0"/>
    <w:pPr>
      <w:ind w:leftChars="400"/>
    </w:pPr>
    <w:rPr>
      <w:rFonts w:ascii="Times New Roman" w:hAnsi="Times New Roman" w:eastAsia="宋体" w:cs="Times New Roman"/>
      <w:sz w:val="20"/>
      <w:szCs w:val="20"/>
    </w:rPr>
  </w:style>
  <w:style w:type="character" w:customStyle="1" w:styleId="18">
    <w:name w:val="font11"/>
    <w:basedOn w:val="10"/>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2871</Words>
  <Characters>3073</Characters>
  <Lines>1</Lines>
  <Paragraphs>1</Paragraphs>
  <TotalTime>16</TotalTime>
  <ScaleCrop>false</ScaleCrop>
  <LinksUpToDate>false</LinksUpToDate>
  <CharactersWithSpaces>3098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2023-06-18T17:50:00Z</dcterms:created>
  <dc:creator>Administrator</dc:creator>
  <cp:lastModifiedBy>精灵</cp:lastModifiedBy>
  <dcterms:modified xsi:type="dcterms:W3CDTF">2026-07-31T02:25:12Z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Acrobat PDFMaker 10.1 Word 版</vt:lpwstr>
  </property>
  <property fmtid="{D5CDD505-2E9C-101B-9397-08002B2CF9AE}" pid="4" name="LastSaved">
    <vt:filetime>2023-06-12T00:00:00Z</vt:filetime>
  </property>
  <property fmtid="{D5CDD505-2E9C-101B-9397-08002B2CF9AE}" pid="5" name="KSOProductBuildVer">
    <vt:lpwstr>2052-12.1.0.26895</vt:lpwstr>
  </property>
  <property fmtid="{D5CDD505-2E9C-101B-9397-08002B2CF9AE}" pid="6" name="ICV">
    <vt:lpwstr>02341A7D684D499EAEE7C98AA2E200FA_13</vt:lpwstr>
  </property>
  <property fmtid="{D5CDD505-2E9C-101B-9397-08002B2CF9AE}" pid="7" name="KSOTemplateDocerSaveRecord">
    <vt:lpwstr>eyJoZGlkIjoiNDkxMzZiMGEwODJhZGZkNTI4NDIwODlkYTA3OWY1MmEiLCJ1c2VySWQiOiIzOTE3MTE2MTAifQ==</vt:lpwstr>
  </property>
</Properties>
</file>