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8B4329">
      <w:pPr>
        <w:pStyle w:val="2"/>
        <w:spacing w:before="0"/>
        <w:ind w:left="0"/>
        <w:rPr>
          <w:rFonts w:hint="eastAsia" w:ascii="仿宋" w:hAnsi="仿宋" w:eastAsia="仿宋" w:cs="仿宋"/>
          <w:sz w:val="32"/>
          <w:szCs w:val="32"/>
        </w:rPr>
      </w:pPr>
      <w:bookmarkStart w:id="295" w:name="_GoBack"/>
      <w:bookmarkEnd w:id="295"/>
    </w:p>
    <w:p w14:paraId="62400B4D">
      <w:pPr>
        <w:pStyle w:val="2"/>
        <w:spacing w:before="6"/>
        <w:ind w:left="0"/>
        <w:rPr>
          <w:rFonts w:hint="eastAsia" w:ascii="仿宋" w:hAnsi="仿宋" w:eastAsia="仿宋" w:cs="仿宋"/>
          <w:sz w:val="32"/>
          <w:szCs w:val="32"/>
        </w:rPr>
      </w:pPr>
    </w:p>
    <w:p w14:paraId="6DFADF14">
      <w:pPr>
        <w:keepNext w:val="0"/>
        <w:keepLines w:val="0"/>
        <w:pageBreakBefore w:val="0"/>
        <w:widowControl/>
        <w:kinsoku w:val="0"/>
        <w:wordWrap/>
        <w:overflowPunct/>
        <w:topLinePunct w:val="0"/>
        <w:autoSpaceDE w:val="0"/>
        <w:autoSpaceDN w:val="0"/>
        <w:bidi w:val="0"/>
        <w:adjustRightInd w:val="0"/>
        <w:snapToGrid w:val="0"/>
        <w:spacing w:before="0" w:after="0" w:line="557" w:lineRule="auto"/>
        <w:ind w:left="0" w:right="0"/>
        <w:jc w:val="center"/>
        <w:textAlignment w:val="baseline"/>
        <w:outlineLvl w:val="9"/>
        <w:rPr>
          <w:rFonts w:hint="eastAsia" w:ascii="仿宋" w:hAnsi="仿宋" w:eastAsia="仿宋" w:cs="仿宋"/>
          <w:snapToGrid w:val="0"/>
          <w:color w:val="000000"/>
          <w:spacing w:val="9"/>
          <w:kern w:val="0"/>
          <w:sz w:val="32"/>
          <w:szCs w:val="32"/>
          <w14:textOutline w14:w="5791" w14:cap="flat" w14:cmpd="sng">
            <w14:solidFill>
              <w14:srgbClr w14:val="000000"/>
            </w14:solidFill>
            <w14:prstDash w14:val="solid"/>
            <w14:miter w14:val="0"/>
          </w14:textOutline>
        </w:rPr>
      </w:pPr>
      <w:bookmarkStart w:id="0" w:name="_Toc556"/>
      <w:r>
        <w:rPr>
          <w:rFonts w:hint="eastAsia" w:ascii="仿宋" w:hAnsi="仿宋" w:eastAsia="仿宋" w:cs="仿宋"/>
          <w:snapToGrid w:val="0"/>
          <w:color w:val="000000"/>
          <w:spacing w:val="9"/>
          <w:kern w:val="0"/>
          <w:sz w:val="32"/>
          <w:szCs w:val="32"/>
          <w:lang w:eastAsia="zh-CN"/>
          <w14:textOutline w14:w="5791" w14:cap="flat" w14:cmpd="sng">
            <w14:solidFill>
              <w14:srgbClr w14:val="000000"/>
            </w14:solidFill>
            <w14:prstDash w14:val="solid"/>
            <w14:miter w14:val="0"/>
          </w14:textOutline>
        </w:rPr>
        <w:t>202</w:t>
      </w:r>
      <w:r>
        <w:rPr>
          <w:rFonts w:hint="eastAsia" w:ascii="仿宋" w:hAnsi="仿宋" w:eastAsia="仿宋" w:cs="仿宋"/>
          <w:snapToGrid w:val="0"/>
          <w:color w:val="000000"/>
          <w:spacing w:val="9"/>
          <w:kern w:val="0"/>
          <w:sz w:val="32"/>
          <w:szCs w:val="32"/>
          <w:lang w:val="en-US" w:eastAsia="zh-CN"/>
          <w14:textOutline w14:w="5791" w14:cap="flat" w14:cmpd="sng">
            <w14:solidFill>
              <w14:srgbClr w14:val="000000"/>
            </w14:solidFill>
            <w14:prstDash w14:val="solid"/>
            <w14:miter w14:val="0"/>
          </w14:textOutline>
        </w:rPr>
        <w:t>3</w:t>
      </w:r>
      <w:r>
        <w:rPr>
          <w:rFonts w:hint="eastAsia" w:ascii="仿宋" w:hAnsi="仿宋" w:eastAsia="仿宋" w:cs="仿宋"/>
          <w:snapToGrid w:val="0"/>
          <w:color w:val="000000"/>
          <w:spacing w:val="9"/>
          <w:kern w:val="0"/>
          <w:sz w:val="32"/>
          <w:szCs w:val="32"/>
          <w14:textOutline w14:w="5791" w14:cap="flat" w14:cmpd="sng">
            <w14:solidFill>
              <w14:srgbClr w14:val="000000"/>
            </w14:solidFill>
            <w14:prstDash w14:val="solid"/>
            <w14:miter w14:val="0"/>
          </w14:textOutline>
        </w:rPr>
        <w:t>年度南京市文化和旅游局-南京市旅游形象</w:t>
      </w:r>
    </w:p>
    <w:p w14:paraId="697B35C7">
      <w:pPr>
        <w:keepNext w:val="0"/>
        <w:keepLines w:val="0"/>
        <w:pageBreakBefore w:val="0"/>
        <w:widowControl/>
        <w:kinsoku w:val="0"/>
        <w:wordWrap/>
        <w:overflowPunct/>
        <w:topLinePunct w:val="0"/>
        <w:autoSpaceDE w:val="0"/>
        <w:autoSpaceDN w:val="0"/>
        <w:bidi w:val="0"/>
        <w:adjustRightInd w:val="0"/>
        <w:snapToGrid w:val="0"/>
        <w:spacing w:before="0" w:after="0" w:line="557" w:lineRule="auto"/>
        <w:ind w:left="0" w:right="0"/>
        <w:jc w:val="center"/>
        <w:textAlignment w:val="baseline"/>
        <w:outlineLvl w:val="9"/>
        <w:rPr>
          <w:rFonts w:hint="eastAsia" w:ascii="仿宋" w:hAnsi="仿宋" w:eastAsia="仿宋" w:cs="仿宋"/>
          <w:snapToGrid w:val="0"/>
          <w:color w:val="000000"/>
          <w:spacing w:val="9"/>
          <w:kern w:val="0"/>
          <w:sz w:val="32"/>
          <w:szCs w:val="32"/>
          <w14:textOutline w14:w="5791" w14:cap="flat" w14:cmpd="sng">
            <w14:solidFill>
              <w14:srgbClr w14:val="000000"/>
            </w14:solidFill>
            <w14:prstDash w14:val="solid"/>
            <w14:miter w14:val="0"/>
          </w14:textOutline>
        </w:rPr>
      </w:pPr>
      <w:bookmarkStart w:id="1" w:name="_Toc4092"/>
      <w:bookmarkStart w:id="2" w:name="_Toc756576478"/>
      <w:bookmarkStart w:id="3" w:name="_Toc2048363728"/>
      <w:r>
        <w:rPr>
          <w:rFonts w:hint="eastAsia" w:ascii="仿宋" w:hAnsi="仿宋" w:eastAsia="仿宋" w:cs="仿宋"/>
          <w:snapToGrid w:val="0"/>
          <w:color w:val="000000"/>
          <w:spacing w:val="9"/>
          <w:kern w:val="0"/>
          <w:sz w:val="32"/>
          <w:szCs w:val="32"/>
          <w14:textOutline w14:w="5791" w14:cap="flat" w14:cmpd="sng">
            <w14:solidFill>
              <w14:srgbClr w14:val="000000"/>
            </w14:solidFill>
            <w14:prstDash w14:val="solid"/>
            <w14:miter w14:val="0"/>
          </w14:textOutline>
        </w:rPr>
        <w:t>推</w:t>
      </w:r>
      <w:r>
        <w:rPr>
          <w:rFonts w:hint="eastAsia" w:ascii="仿宋" w:hAnsi="仿宋" w:eastAsia="仿宋" w:cs="仿宋"/>
          <w:snapToGrid w:val="0"/>
          <w:color w:val="000000"/>
          <w:spacing w:val="9"/>
          <w:kern w:val="0"/>
          <w:sz w:val="32"/>
          <w:szCs w:val="32"/>
          <w:lang w:val="en-US" w:eastAsia="zh-CN"/>
          <w14:textOutline w14:w="5791" w14:cap="flat" w14:cmpd="sng">
            <w14:solidFill>
              <w14:srgbClr w14:val="000000"/>
            </w14:solidFill>
            <w14:prstDash w14:val="solid"/>
            <w14:miter w14:val="0"/>
          </w14:textOutline>
        </w:rPr>
        <w:t>广</w:t>
      </w:r>
      <w:r>
        <w:rPr>
          <w:rFonts w:hint="eastAsia" w:ascii="仿宋" w:hAnsi="仿宋" w:eastAsia="仿宋" w:cs="仿宋"/>
          <w:snapToGrid w:val="0"/>
          <w:color w:val="000000"/>
          <w:spacing w:val="9"/>
          <w:kern w:val="0"/>
          <w:sz w:val="32"/>
          <w:szCs w:val="32"/>
          <w14:textOutline w14:w="5791" w14:cap="flat" w14:cmpd="sng">
            <w14:solidFill>
              <w14:srgbClr w14:val="000000"/>
            </w14:solidFill>
            <w14:prstDash w14:val="solid"/>
            <w14:miter w14:val="0"/>
          </w14:textOutline>
        </w:rPr>
        <w:t>中心</w:t>
      </w:r>
      <w:r>
        <w:rPr>
          <w:rFonts w:hint="eastAsia" w:ascii="仿宋" w:hAnsi="仿宋" w:eastAsia="仿宋" w:cs="仿宋"/>
          <w:snapToGrid w:val="0"/>
          <w:color w:val="000000"/>
          <w:spacing w:val="9"/>
          <w:kern w:val="0"/>
          <w:sz w:val="32"/>
          <w:szCs w:val="32"/>
          <w:lang w:val="en-US" w:eastAsia="zh-CN"/>
          <w14:textOutline w14:w="5791" w14:cap="flat" w14:cmpd="sng">
            <w14:solidFill>
              <w14:srgbClr w14:val="000000"/>
            </w14:solidFill>
            <w14:prstDash w14:val="solid"/>
            <w14:miter w14:val="0"/>
          </w14:textOutline>
        </w:rPr>
        <w:t>部门</w:t>
      </w:r>
      <w:r>
        <w:rPr>
          <w:rFonts w:hint="eastAsia" w:ascii="仿宋" w:hAnsi="仿宋" w:eastAsia="仿宋" w:cs="仿宋"/>
          <w:snapToGrid w:val="0"/>
          <w:color w:val="000000"/>
          <w:spacing w:val="9"/>
          <w:kern w:val="0"/>
          <w:sz w:val="32"/>
          <w:szCs w:val="32"/>
          <w14:textOutline w14:w="5791" w14:cap="flat" w14:cmpd="sng">
            <w14:solidFill>
              <w14:srgbClr w14:val="000000"/>
            </w14:solidFill>
            <w14:prstDash w14:val="solid"/>
            <w14:miter w14:val="0"/>
          </w14:textOutline>
        </w:rPr>
        <w:t>整绩效自评价报告</w:t>
      </w:r>
      <w:bookmarkEnd w:id="0"/>
      <w:bookmarkEnd w:id="1"/>
      <w:bookmarkEnd w:id="2"/>
      <w:bookmarkEnd w:id="3"/>
    </w:p>
    <w:p w14:paraId="67668294">
      <w:pPr>
        <w:spacing w:after="0" w:line="547" w:lineRule="auto"/>
        <w:rPr>
          <w:rFonts w:hint="eastAsia" w:ascii="仿宋" w:hAnsi="仿宋" w:eastAsia="仿宋" w:cs="仿宋"/>
          <w:sz w:val="28"/>
          <w:szCs w:val="28"/>
        </w:rPr>
        <w:sectPr>
          <w:type w:val="continuous"/>
          <w:pgSz w:w="11910" w:h="16840"/>
          <w:pgMar w:top="1580" w:right="920" w:bottom="280" w:left="1580" w:header="720" w:footer="720" w:gutter="0"/>
          <w:pgBorders>
            <w:top w:val="none" w:sz="0" w:space="0"/>
            <w:left w:val="none" w:sz="0" w:space="0"/>
            <w:bottom w:val="none" w:sz="0" w:space="0"/>
            <w:right w:val="none" w:sz="0" w:space="0"/>
          </w:pgBorders>
          <w:cols w:space="720" w:num="1"/>
        </w:sectPr>
      </w:pPr>
    </w:p>
    <w:sdt>
      <w:sdtPr>
        <w:rPr>
          <w:rFonts w:hint="eastAsia" w:ascii="仿宋" w:hAnsi="仿宋" w:eastAsia="仿宋" w:cs="仿宋"/>
          <w:b/>
          <w:bCs/>
          <w:sz w:val="30"/>
          <w:szCs w:val="30"/>
          <w:lang w:val="en-US" w:eastAsia="zh-CN" w:bidi="ar-SA"/>
        </w:rPr>
        <w:id w:val="147463410"/>
        <w15:color w:val="DBDBDB"/>
        <w:docPartObj>
          <w:docPartGallery w:val="Table of Contents"/>
          <w:docPartUnique/>
        </w:docPartObj>
      </w:sdtPr>
      <w:sdtEndPr>
        <w:rPr>
          <w:rFonts w:hint="eastAsia" w:ascii="仿宋" w:hAnsi="仿宋" w:eastAsia="仿宋" w:cs="仿宋"/>
          <w:b/>
          <w:bCs/>
          <w:sz w:val="30"/>
          <w:szCs w:val="30"/>
          <w:lang w:val="en-US" w:eastAsia="zh-CN" w:bidi="ar-SA"/>
        </w:rPr>
      </w:sdtEndPr>
      <w:sdtContent>
        <w:p w14:paraId="7210A973">
          <w:pPr>
            <w:spacing w:before="0" w:beforeLines="0" w:after="0" w:afterLines="0" w:line="240" w:lineRule="auto"/>
            <w:ind w:left="0" w:leftChars="0" w:right="0" w:rightChars="0" w:firstLine="0" w:firstLineChars="0"/>
            <w:jc w:val="center"/>
            <w:rPr>
              <w:rFonts w:hint="eastAsia" w:ascii="仿宋" w:hAnsi="仿宋" w:eastAsia="仿宋" w:cs="仿宋"/>
              <w:b/>
              <w:bCs/>
              <w:sz w:val="30"/>
              <w:szCs w:val="30"/>
            </w:rPr>
          </w:pPr>
          <w:r>
            <w:rPr>
              <w:rFonts w:hint="eastAsia" w:ascii="仿宋" w:hAnsi="仿宋" w:eastAsia="仿宋" w:cs="仿宋"/>
              <w:b/>
              <w:bCs/>
              <w:sz w:val="30"/>
              <w:szCs w:val="30"/>
            </w:rPr>
            <w:t>目</w:t>
          </w:r>
          <w:r>
            <w:rPr>
              <w:rFonts w:hint="eastAsia" w:ascii="仿宋" w:hAnsi="仿宋" w:eastAsia="仿宋" w:cs="仿宋"/>
              <w:b/>
              <w:bCs/>
              <w:sz w:val="30"/>
              <w:szCs w:val="30"/>
              <w:lang w:val="en-US" w:eastAsia="zh-CN"/>
            </w:rPr>
            <w:t xml:space="preserve">  </w:t>
          </w:r>
          <w:r>
            <w:rPr>
              <w:rFonts w:hint="eastAsia" w:ascii="仿宋" w:hAnsi="仿宋" w:eastAsia="仿宋" w:cs="仿宋"/>
              <w:b/>
              <w:bCs/>
              <w:sz w:val="30"/>
              <w:szCs w:val="30"/>
            </w:rPr>
            <w:t>录</w:t>
          </w:r>
        </w:p>
        <w:p w14:paraId="15D6DC8D">
          <w:pPr>
            <w:pStyle w:val="6"/>
            <w:tabs>
              <w:tab w:val="right" w:leader="dot" w:pos="8310"/>
            </w:tabs>
          </w:pPr>
          <w:r>
            <w:fldChar w:fldCharType="begin"/>
          </w:r>
          <w:r>
            <w:instrText xml:space="preserve">TOC \o "1-2" \h \u </w:instrText>
          </w:r>
          <w:r>
            <w:fldChar w:fldCharType="separate"/>
          </w:r>
          <w:r>
            <w:fldChar w:fldCharType="begin"/>
          </w:r>
          <w:r>
            <w:instrText xml:space="preserve"> HYPERLINK \l _Toc983282869 </w:instrText>
          </w:r>
          <w:r>
            <w:fldChar w:fldCharType="separate"/>
          </w:r>
          <w:r>
            <w:rPr>
              <w:rFonts w:hint="eastAsia" w:ascii="仿宋" w:hAnsi="仿宋" w:eastAsia="仿宋" w:cs="仿宋"/>
              <w:snapToGrid w:val="0"/>
              <w:spacing w:val="8"/>
              <w:kern w:val="0"/>
              <w:szCs w:val="30"/>
              <w:lang w:val="en-US" w:eastAsia="zh-CN"/>
              <w14:textOutline w14:w="5791" w14:cap="flat" w14:cmpd="sng">
                <w14:solidFill>
                  <w14:srgbClr w14:val="000000"/>
                </w14:solidFill>
                <w14:prstDash w14:val="solid"/>
                <w14:miter w14:val="0"/>
              </w14:textOutline>
            </w:rPr>
            <w:t>一、单位概况</w:t>
          </w:r>
          <w:r>
            <w:tab/>
          </w:r>
          <w:r>
            <w:fldChar w:fldCharType="begin"/>
          </w:r>
          <w:r>
            <w:instrText xml:space="preserve"> PAGEREF _Toc983282869 \h </w:instrText>
          </w:r>
          <w:r>
            <w:fldChar w:fldCharType="separate"/>
          </w:r>
          <w:r>
            <w:t>1</w:t>
          </w:r>
          <w:r>
            <w:fldChar w:fldCharType="end"/>
          </w:r>
          <w:r>
            <w:fldChar w:fldCharType="end"/>
          </w:r>
        </w:p>
        <w:p w14:paraId="10B5A6A0">
          <w:pPr>
            <w:pStyle w:val="7"/>
            <w:tabs>
              <w:tab w:val="right" w:leader="dot" w:pos="8310"/>
            </w:tabs>
          </w:pPr>
          <w:r>
            <w:fldChar w:fldCharType="begin"/>
          </w:r>
          <w:r>
            <w:instrText xml:space="preserve"> HYPERLINK \l _Toc1148515618 </w:instrText>
          </w:r>
          <w:r>
            <w:fldChar w:fldCharType="separate"/>
          </w:r>
          <w:r>
            <w:rPr>
              <w:rFonts w:hint="eastAsia" w:ascii="仿宋" w:hAnsi="仿宋" w:eastAsia="仿宋" w:cs="仿宋"/>
              <w:snapToGrid w:val="0"/>
              <w:kern w:val="0"/>
              <w:szCs w:val="30"/>
              <w:lang w:val="en-US" w:eastAsia="zh-CN"/>
            </w:rPr>
            <w:t>（一）单位基本情况</w:t>
          </w:r>
          <w:r>
            <w:tab/>
          </w:r>
          <w:r>
            <w:fldChar w:fldCharType="begin"/>
          </w:r>
          <w:r>
            <w:instrText xml:space="preserve"> PAGEREF _Toc1148515618 \h </w:instrText>
          </w:r>
          <w:r>
            <w:fldChar w:fldCharType="separate"/>
          </w:r>
          <w:r>
            <w:t>1</w:t>
          </w:r>
          <w:r>
            <w:fldChar w:fldCharType="end"/>
          </w:r>
          <w:r>
            <w:fldChar w:fldCharType="end"/>
          </w:r>
        </w:p>
        <w:p w14:paraId="3B64DBA4">
          <w:pPr>
            <w:pStyle w:val="7"/>
            <w:tabs>
              <w:tab w:val="right" w:leader="dot" w:pos="8310"/>
            </w:tabs>
          </w:pPr>
          <w:r>
            <w:fldChar w:fldCharType="begin"/>
          </w:r>
          <w:r>
            <w:instrText xml:space="preserve"> HYPERLINK \l _Toc1518972490 </w:instrText>
          </w:r>
          <w:r>
            <w:fldChar w:fldCharType="separate"/>
          </w:r>
          <w:r>
            <w:rPr>
              <w:rFonts w:hint="eastAsia" w:ascii="仿宋" w:hAnsi="仿宋" w:eastAsia="仿宋" w:cs="仿宋"/>
              <w:snapToGrid w:val="0"/>
              <w:kern w:val="0"/>
              <w:szCs w:val="30"/>
              <w:lang w:val="en-US" w:eastAsia="zh-CN"/>
            </w:rPr>
            <w:t>（二）单位收支情况</w:t>
          </w:r>
          <w:r>
            <w:tab/>
          </w:r>
          <w:r>
            <w:fldChar w:fldCharType="begin"/>
          </w:r>
          <w:r>
            <w:instrText xml:space="preserve"> PAGEREF _Toc1518972490 \h </w:instrText>
          </w:r>
          <w:r>
            <w:fldChar w:fldCharType="separate"/>
          </w:r>
          <w:r>
            <w:t>3</w:t>
          </w:r>
          <w:r>
            <w:fldChar w:fldCharType="end"/>
          </w:r>
          <w:r>
            <w:fldChar w:fldCharType="end"/>
          </w:r>
        </w:p>
        <w:p w14:paraId="1DEB4668">
          <w:pPr>
            <w:pStyle w:val="7"/>
            <w:tabs>
              <w:tab w:val="right" w:leader="dot" w:pos="8310"/>
            </w:tabs>
          </w:pPr>
          <w:r>
            <w:fldChar w:fldCharType="begin"/>
          </w:r>
          <w:r>
            <w:instrText xml:space="preserve"> HYPERLINK \l _Toc85043894 </w:instrText>
          </w:r>
          <w:r>
            <w:fldChar w:fldCharType="separate"/>
          </w:r>
          <w:r>
            <w:rPr>
              <w:rFonts w:hint="eastAsia" w:ascii="仿宋" w:hAnsi="仿宋" w:eastAsia="仿宋" w:cs="仿宋"/>
              <w:snapToGrid w:val="0"/>
              <w:kern w:val="0"/>
              <w:szCs w:val="30"/>
              <w:lang w:val="en-US" w:eastAsia="zh-CN"/>
            </w:rPr>
            <w:t>（三）单位绩效目标</w:t>
          </w:r>
          <w:r>
            <w:tab/>
          </w:r>
          <w:r>
            <w:fldChar w:fldCharType="begin"/>
          </w:r>
          <w:r>
            <w:instrText xml:space="preserve"> PAGEREF _Toc85043894 \h </w:instrText>
          </w:r>
          <w:r>
            <w:fldChar w:fldCharType="separate"/>
          </w:r>
          <w:r>
            <w:t>4</w:t>
          </w:r>
          <w:r>
            <w:fldChar w:fldCharType="end"/>
          </w:r>
          <w:r>
            <w:fldChar w:fldCharType="end"/>
          </w:r>
        </w:p>
        <w:p w14:paraId="7B112E53">
          <w:pPr>
            <w:pStyle w:val="6"/>
            <w:tabs>
              <w:tab w:val="right" w:leader="dot" w:pos="8310"/>
            </w:tabs>
          </w:pPr>
          <w:r>
            <w:fldChar w:fldCharType="begin"/>
          </w:r>
          <w:r>
            <w:instrText xml:space="preserve"> HYPERLINK \l _Toc1256101203 </w:instrText>
          </w:r>
          <w:r>
            <w:fldChar w:fldCharType="separate"/>
          </w:r>
          <w:r>
            <w:rPr>
              <w:rFonts w:hint="eastAsia" w:ascii="仿宋" w:hAnsi="仿宋" w:eastAsia="仿宋" w:cs="仿宋"/>
              <w:snapToGrid w:val="0"/>
              <w:spacing w:val="8"/>
              <w:kern w:val="0"/>
              <w:szCs w:val="30"/>
              <w:lang w:val="en-US" w:eastAsia="zh-CN"/>
              <w14:textOutline w14:w="5791" w14:cap="flat" w14:cmpd="sng">
                <w14:solidFill>
                  <w14:srgbClr w14:val="000000"/>
                </w14:solidFill>
                <w14:prstDash w14:val="solid"/>
                <w14:miter w14:val="0"/>
              </w14:textOutline>
            </w:rPr>
            <w:t>二、评价结论</w:t>
          </w:r>
          <w:r>
            <w:tab/>
          </w:r>
          <w:r>
            <w:fldChar w:fldCharType="begin"/>
          </w:r>
          <w:r>
            <w:instrText xml:space="preserve"> PAGEREF _Toc1256101203 \h </w:instrText>
          </w:r>
          <w:r>
            <w:fldChar w:fldCharType="separate"/>
          </w:r>
          <w:r>
            <w:t>5</w:t>
          </w:r>
          <w:r>
            <w:fldChar w:fldCharType="end"/>
          </w:r>
          <w:r>
            <w:fldChar w:fldCharType="end"/>
          </w:r>
        </w:p>
        <w:p w14:paraId="3AC40C18">
          <w:pPr>
            <w:pStyle w:val="7"/>
            <w:tabs>
              <w:tab w:val="right" w:leader="dot" w:pos="8310"/>
            </w:tabs>
          </w:pPr>
          <w:r>
            <w:fldChar w:fldCharType="begin"/>
          </w:r>
          <w:r>
            <w:instrText xml:space="preserve"> HYPERLINK \l _Toc1528668811 </w:instrText>
          </w:r>
          <w:r>
            <w:fldChar w:fldCharType="separate"/>
          </w:r>
          <w:r>
            <w:rPr>
              <w:rFonts w:hint="eastAsia" w:ascii="仿宋" w:hAnsi="仿宋" w:eastAsia="仿宋" w:cs="仿宋"/>
              <w:snapToGrid w:val="0"/>
              <w:kern w:val="0"/>
              <w:szCs w:val="30"/>
              <w:lang w:val="en-US" w:eastAsia="zh-CN"/>
            </w:rPr>
            <w:t>（一）评价对象及范围</w:t>
          </w:r>
          <w:r>
            <w:tab/>
          </w:r>
          <w:r>
            <w:fldChar w:fldCharType="begin"/>
          </w:r>
          <w:r>
            <w:instrText xml:space="preserve"> PAGEREF _Toc1528668811 \h </w:instrText>
          </w:r>
          <w:r>
            <w:fldChar w:fldCharType="separate"/>
          </w:r>
          <w:r>
            <w:t>5</w:t>
          </w:r>
          <w:r>
            <w:fldChar w:fldCharType="end"/>
          </w:r>
          <w:r>
            <w:fldChar w:fldCharType="end"/>
          </w:r>
        </w:p>
        <w:p w14:paraId="2DC72B56">
          <w:pPr>
            <w:pStyle w:val="7"/>
            <w:tabs>
              <w:tab w:val="right" w:leader="dot" w:pos="8310"/>
            </w:tabs>
          </w:pPr>
          <w:r>
            <w:fldChar w:fldCharType="begin"/>
          </w:r>
          <w:r>
            <w:instrText xml:space="preserve"> HYPERLINK \l _Toc1989837416 </w:instrText>
          </w:r>
          <w:r>
            <w:fldChar w:fldCharType="separate"/>
          </w:r>
          <w:r>
            <w:rPr>
              <w:rFonts w:hint="eastAsia" w:ascii="仿宋" w:hAnsi="仿宋" w:eastAsia="仿宋" w:cs="仿宋"/>
              <w:snapToGrid w:val="0"/>
              <w:kern w:val="0"/>
              <w:szCs w:val="30"/>
              <w:lang w:val="en-US" w:eastAsia="zh-CN"/>
            </w:rPr>
            <w:t>（二）评价结论</w:t>
          </w:r>
          <w:r>
            <w:tab/>
          </w:r>
          <w:r>
            <w:fldChar w:fldCharType="begin"/>
          </w:r>
          <w:r>
            <w:instrText xml:space="preserve"> PAGEREF _Toc1989837416 \h </w:instrText>
          </w:r>
          <w:r>
            <w:fldChar w:fldCharType="separate"/>
          </w:r>
          <w:r>
            <w:t>5</w:t>
          </w:r>
          <w:r>
            <w:fldChar w:fldCharType="end"/>
          </w:r>
          <w:r>
            <w:fldChar w:fldCharType="end"/>
          </w:r>
        </w:p>
        <w:p w14:paraId="22100A54">
          <w:pPr>
            <w:pStyle w:val="7"/>
            <w:tabs>
              <w:tab w:val="right" w:leader="dot" w:pos="8310"/>
            </w:tabs>
          </w:pPr>
          <w:r>
            <w:fldChar w:fldCharType="begin"/>
          </w:r>
          <w:r>
            <w:instrText xml:space="preserve"> HYPERLINK \l _Toc434615981 </w:instrText>
          </w:r>
          <w:r>
            <w:fldChar w:fldCharType="separate"/>
          </w:r>
          <w:r>
            <w:rPr>
              <w:rFonts w:hint="eastAsia" w:ascii="仿宋" w:hAnsi="仿宋" w:eastAsia="仿宋" w:cs="仿宋"/>
              <w:snapToGrid w:val="0"/>
              <w:kern w:val="0"/>
              <w:szCs w:val="30"/>
              <w:lang w:val="en-US" w:eastAsia="zh-CN"/>
            </w:rPr>
            <w:t>（三）评分结果</w:t>
          </w:r>
          <w:r>
            <w:tab/>
          </w:r>
          <w:r>
            <w:fldChar w:fldCharType="begin"/>
          </w:r>
          <w:r>
            <w:instrText xml:space="preserve"> PAGEREF _Toc434615981 \h </w:instrText>
          </w:r>
          <w:r>
            <w:fldChar w:fldCharType="separate"/>
          </w:r>
          <w:r>
            <w:t>6</w:t>
          </w:r>
          <w:r>
            <w:fldChar w:fldCharType="end"/>
          </w:r>
          <w:r>
            <w:fldChar w:fldCharType="end"/>
          </w:r>
        </w:p>
        <w:p w14:paraId="2C7FF291">
          <w:pPr>
            <w:pStyle w:val="6"/>
            <w:tabs>
              <w:tab w:val="right" w:leader="dot" w:pos="8310"/>
            </w:tabs>
          </w:pPr>
          <w:r>
            <w:fldChar w:fldCharType="begin"/>
          </w:r>
          <w:r>
            <w:instrText xml:space="preserve"> HYPERLINK \l _Toc998909220 </w:instrText>
          </w:r>
          <w:r>
            <w:fldChar w:fldCharType="separate"/>
          </w:r>
          <w:r>
            <w:rPr>
              <w:rFonts w:hint="eastAsia" w:ascii="仿宋" w:hAnsi="仿宋" w:eastAsia="仿宋" w:cs="仿宋"/>
              <w:snapToGrid w:val="0"/>
              <w:spacing w:val="8"/>
              <w:kern w:val="0"/>
              <w:szCs w:val="30"/>
              <w:lang w:val="en-US" w:eastAsia="zh-CN"/>
              <w14:textOutline w14:w="5791" w14:cap="flat" w14:cmpd="sng">
                <w14:solidFill>
                  <w14:srgbClr w14:val="000000"/>
                </w14:solidFill>
                <w14:prstDash w14:val="solid"/>
                <w14:miter w14:val="0"/>
              </w14:textOutline>
            </w:rPr>
            <w:t>三、部门履职成效</w:t>
          </w:r>
          <w:r>
            <w:tab/>
          </w:r>
          <w:r>
            <w:fldChar w:fldCharType="begin"/>
          </w:r>
          <w:r>
            <w:instrText xml:space="preserve"> PAGEREF _Toc998909220 \h </w:instrText>
          </w:r>
          <w:r>
            <w:fldChar w:fldCharType="separate"/>
          </w:r>
          <w:r>
            <w:t>6</w:t>
          </w:r>
          <w:r>
            <w:fldChar w:fldCharType="end"/>
          </w:r>
          <w:r>
            <w:fldChar w:fldCharType="end"/>
          </w:r>
        </w:p>
        <w:p w14:paraId="6B2DADBD">
          <w:pPr>
            <w:pStyle w:val="7"/>
            <w:tabs>
              <w:tab w:val="right" w:leader="dot" w:pos="8310"/>
            </w:tabs>
          </w:pPr>
          <w:r>
            <w:fldChar w:fldCharType="begin"/>
          </w:r>
          <w:r>
            <w:instrText xml:space="preserve"> HYPERLINK \l _Toc1787591941 </w:instrText>
          </w:r>
          <w:r>
            <w:fldChar w:fldCharType="separate"/>
          </w:r>
          <w:r>
            <w:rPr>
              <w:rFonts w:hint="eastAsia" w:ascii="仿宋" w:hAnsi="仿宋" w:eastAsia="仿宋" w:cs="仿宋"/>
              <w:bCs w:val="0"/>
              <w:snapToGrid w:val="0"/>
              <w:szCs w:val="30"/>
              <w:lang w:val="en-US" w:eastAsia="zh-CN" w:bidi="ar-SA"/>
            </w:rPr>
            <w:t>（一）“塑产品”与“重宣推”并行，讲好“研学南京”品牌故事</w:t>
          </w:r>
          <w:r>
            <w:tab/>
          </w:r>
          <w:r>
            <w:fldChar w:fldCharType="begin"/>
          </w:r>
          <w:r>
            <w:instrText xml:space="preserve"> PAGEREF _Toc1787591941 \h </w:instrText>
          </w:r>
          <w:r>
            <w:fldChar w:fldCharType="separate"/>
          </w:r>
          <w:r>
            <w:t>7</w:t>
          </w:r>
          <w:r>
            <w:fldChar w:fldCharType="end"/>
          </w:r>
          <w:r>
            <w:fldChar w:fldCharType="end"/>
          </w:r>
        </w:p>
        <w:p w14:paraId="6E8E41C5">
          <w:pPr>
            <w:pStyle w:val="7"/>
            <w:tabs>
              <w:tab w:val="right" w:leader="dot" w:pos="8310"/>
            </w:tabs>
          </w:pPr>
          <w:r>
            <w:fldChar w:fldCharType="begin"/>
          </w:r>
          <w:r>
            <w:instrText xml:space="preserve"> HYPERLINK \l _Toc761530857 </w:instrText>
          </w:r>
          <w:r>
            <w:fldChar w:fldCharType="separate"/>
          </w:r>
          <w:r>
            <w:rPr>
              <w:rFonts w:hint="eastAsia" w:ascii="仿宋" w:hAnsi="仿宋" w:eastAsia="仿宋" w:cs="仿宋"/>
              <w:snapToGrid w:val="0"/>
              <w:szCs w:val="30"/>
            </w:rPr>
            <w:t>（二）“走出去”与“请进来”并行，扩大会奖旅游品牌效应</w:t>
          </w:r>
          <w:r>
            <w:tab/>
          </w:r>
          <w:r>
            <w:fldChar w:fldCharType="begin"/>
          </w:r>
          <w:r>
            <w:instrText xml:space="preserve"> PAGEREF _Toc761530857 \h </w:instrText>
          </w:r>
          <w:r>
            <w:fldChar w:fldCharType="separate"/>
          </w:r>
          <w:r>
            <w:t>8</w:t>
          </w:r>
          <w:r>
            <w:fldChar w:fldCharType="end"/>
          </w:r>
          <w:r>
            <w:fldChar w:fldCharType="end"/>
          </w:r>
        </w:p>
        <w:p w14:paraId="60700EFE">
          <w:pPr>
            <w:pStyle w:val="7"/>
            <w:tabs>
              <w:tab w:val="right" w:leader="dot" w:pos="8310"/>
            </w:tabs>
          </w:pPr>
          <w:r>
            <w:fldChar w:fldCharType="begin"/>
          </w:r>
          <w:r>
            <w:instrText xml:space="preserve"> HYPERLINK \l _Toc46577479 </w:instrText>
          </w:r>
          <w:r>
            <w:fldChar w:fldCharType="separate"/>
          </w:r>
          <w:r>
            <w:rPr>
              <w:rFonts w:hint="eastAsia" w:ascii="仿宋" w:hAnsi="仿宋" w:eastAsia="仿宋" w:cs="仿宋"/>
              <w:snapToGrid w:val="0"/>
              <w:szCs w:val="30"/>
              <w:lang w:val="en-US" w:eastAsia="zh-CN" w:bidi="ar-SA"/>
            </w:rPr>
            <w:t>（三）“极美南京”，宣传矩阵与视频内容共建</w:t>
          </w:r>
          <w:r>
            <w:tab/>
          </w:r>
          <w:r>
            <w:fldChar w:fldCharType="begin"/>
          </w:r>
          <w:r>
            <w:instrText xml:space="preserve"> PAGEREF _Toc46577479 \h </w:instrText>
          </w:r>
          <w:r>
            <w:fldChar w:fldCharType="separate"/>
          </w:r>
          <w:r>
            <w:t>9</w:t>
          </w:r>
          <w:r>
            <w:fldChar w:fldCharType="end"/>
          </w:r>
          <w:r>
            <w:fldChar w:fldCharType="end"/>
          </w:r>
        </w:p>
        <w:p w14:paraId="4A2FE240">
          <w:pPr>
            <w:pStyle w:val="7"/>
            <w:tabs>
              <w:tab w:val="right" w:leader="dot" w:pos="8310"/>
            </w:tabs>
          </w:pPr>
          <w:r>
            <w:fldChar w:fldCharType="begin"/>
          </w:r>
          <w:r>
            <w:instrText xml:space="preserve"> HYPERLINK \l _Toc1143642045 </w:instrText>
          </w:r>
          <w:r>
            <w:fldChar w:fldCharType="separate"/>
          </w:r>
          <w:r>
            <w:rPr>
              <w:rFonts w:hint="eastAsia" w:ascii="仿宋" w:hAnsi="仿宋" w:eastAsia="仿宋" w:cs="仿宋"/>
              <w:snapToGrid w:val="0"/>
              <w:szCs w:val="30"/>
              <w:lang w:val="en-US" w:eastAsia="zh-CN" w:bidi="ar-SA"/>
            </w:rPr>
            <w:t>（四）“调查研究”，市场需求与企业诉求同解</w:t>
          </w:r>
          <w:r>
            <w:tab/>
          </w:r>
          <w:r>
            <w:fldChar w:fldCharType="begin"/>
          </w:r>
          <w:r>
            <w:instrText xml:space="preserve"> PAGEREF _Toc1143642045 \h </w:instrText>
          </w:r>
          <w:r>
            <w:fldChar w:fldCharType="separate"/>
          </w:r>
          <w:r>
            <w:t>10</w:t>
          </w:r>
          <w:r>
            <w:fldChar w:fldCharType="end"/>
          </w:r>
          <w:r>
            <w:fldChar w:fldCharType="end"/>
          </w:r>
        </w:p>
        <w:p w14:paraId="7FCCDF1B">
          <w:pPr>
            <w:pStyle w:val="6"/>
            <w:tabs>
              <w:tab w:val="right" w:leader="dot" w:pos="8310"/>
            </w:tabs>
          </w:pPr>
          <w:r>
            <w:fldChar w:fldCharType="begin"/>
          </w:r>
          <w:r>
            <w:instrText xml:space="preserve"> HYPERLINK \l _Toc1213209665 </w:instrText>
          </w:r>
          <w:r>
            <w:fldChar w:fldCharType="separate"/>
          </w:r>
          <w:r>
            <w:rPr>
              <w:rFonts w:hint="eastAsia" w:ascii="仿宋" w:hAnsi="仿宋" w:eastAsia="仿宋" w:cs="仿宋"/>
              <w:snapToGrid w:val="0"/>
              <w:spacing w:val="9"/>
              <w:szCs w:val="30"/>
              <w14:textOutline w14:w="5791" w14:cap="flat" w14:cmpd="sng" w14:algn="ctr">
                <w14:solidFill>
                  <w14:srgbClr w14:val="000000"/>
                </w14:solidFill>
                <w14:prstDash w14:val="solid"/>
                <w14:miter w14:val="0"/>
              </w14:textOutline>
            </w:rPr>
            <w:t>四、存在问题及原因分析</w:t>
          </w:r>
          <w:r>
            <w:tab/>
          </w:r>
          <w:r>
            <w:fldChar w:fldCharType="begin"/>
          </w:r>
          <w:r>
            <w:instrText xml:space="preserve"> PAGEREF _Toc1213209665 \h </w:instrText>
          </w:r>
          <w:r>
            <w:fldChar w:fldCharType="separate"/>
          </w:r>
          <w:r>
            <w:t>10</w:t>
          </w:r>
          <w:r>
            <w:fldChar w:fldCharType="end"/>
          </w:r>
          <w:r>
            <w:fldChar w:fldCharType="end"/>
          </w:r>
        </w:p>
        <w:p w14:paraId="0985484C">
          <w:pPr>
            <w:pStyle w:val="7"/>
            <w:tabs>
              <w:tab w:val="right" w:leader="dot" w:pos="8310"/>
            </w:tabs>
          </w:pPr>
          <w:r>
            <w:fldChar w:fldCharType="begin"/>
          </w:r>
          <w:r>
            <w:instrText xml:space="preserve"> HYPERLINK \l _Toc57611390 </w:instrText>
          </w:r>
          <w:r>
            <w:fldChar w:fldCharType="separate"/>
          </w:r>
          <w:r>
            <w:rPr>
              <w:rFonts w:hint="eastAsia" w:ascii="仿宋" w:hAnsi="仿宋" w:eastAsia="仿宋" w:cs="仿宋"/>
              <w:snapToGrid w:val="0"/>
              <w:spacing w:val="50"/>
              <w:kern w:val="0"/>
              <w:szCs w:val="30"/>
              <w:lang w:eastAsia="zh-CN"/>
            </w:rPr>
            <w:t>（</w:t>
          </w:r>
          <w:r>
            <w:rPr>
              <w:rFonts w:hint="eastAsia" w:ascii="仿宋" w:hAnsi="仿宋" w:eastAsia="仿宋" w:cs="仿宋"/>
              <w:snapToGrid w:val="0"/>
              <w:spacing w:val="50"/>
              <w:kern w:val="0"/>
              <w:szCs w:val="30"/>
              <w:lang w:val="en-US" w:eastAsia="zh-CN"/>
            </w:rPr>
            <w:t>一</w:t>
          </w:r>
          <w:r>
            <w:rPr>
              <w:rFonts w:hint="eastAsia" w:ascii="仿宋" w:hAnsi="仿宋" w:eastAsia="仿宋" w:cs="仿宋"/>
              <w:snapToGrid w:val="0"/>
              <w:spacing w:val="50"/>
              <w:kern w:val="0"/>
              <w:szCs w:val="30"/>
              <w:lang w:eastAsia="zh-CN"/>
            </w:rPr>
            <w:t>）</w:t>
          </w:r>
          <w:r>
            <w:rPr>
              <w:rFonts w:hint="eastAsia" w:ascii="仿宋" w:hAnsi="仿宋" w:eastAsia="仿宋" w:cs="仿宋"/>
              <w:snapToGrid w:val="0"/>
              <w:spacing w:val="50"/>
              <w:kern w:val="0"/>
              <w:szCs w:val="30"/>
              <w:lang w:val="en-US" w:eastAsia="zh-CN"/>
            </w:rPr>
            <w:t>固定资产管理执行有待完善</w:t>
          </w:r>
          <w:r>
            <w:tab/>
          </w:r>
          <w:r>
            <w:fldChar w:fldCharType="begin"/>
          </w:r>
          <w:r>
            <w:instrText xml:space="preserve"> PAGEREF _Toc57611390 \h </w:instrText>
          </w:r>
          <w:r>
            <w:fldChar w:fldCharType="separate"/>
          </w:r>
          <w:r>
            <w:t>10</w:t>
          </w:r>
          <w:r>
            <w:fldChar w:fldCharType="end"/>
          </w:r>
          <w:r>
            <w:fldChar w:fldCharType="end"/>
          </w:r>
        </w:p>
        <w:p w14:paraId="5CEACE0D">
          <w:pPr>
            <w:pStyle w:val="7"/>
            <w:tabs>
              <w:tab w:val="right" w:leader="dot" w:pos="8310"/>
            </w:tabs>
          </w:pPr>
          <w:r>
            <w:fldChar w:fldCharType="begin"/>
          </w:r>
          <w:r>
            <w:instrText xml:space="preserve"> HYPERLINK \l _Toc1906990580 </w:instrText>
          </w:r>
          <w:r>
            <w:fldChar w:fldCharType="separate"/>
          </w:r>
          <w:r>
            <w:rPr>
              <w:rFonts w:hint="eastAsia" w:ascii="仿宋" w:hAnsi="仿宋" w:eastAsia="仿宋" w:cs="仿宋"/>
              <w:snapToGrid w:val="0"/>
              <w:spacing w:val="50"/>
              <w:kern w:val="0"/>
              <w:szCs w:val="30"/>
            </w:rPr>
            <w:t>（二）</w:t>
          </w:r>
          <w:r>
            <w:rPr>
              <w:rFonts w:hint="eastAsia" w:ascii="仿宋" w:hAnsi="仿宋" w:eastAsia="仿宋" w:cs="仿宋"/>
              <w:snapToGrid w:val="0"/>
              <w:spacing w:val="50"/>
              <w:kern w:val="0"/>
              <w:szCs w:val="30"/>
              <w:lang w:val="en-US" w:eastAsia="zh-CN"/>
            </w:rPr>
            <w:t>满意度调查覆盖面与频率亟待加强</w:t>
          </w:r>
          <w:r>
            <w:tab/>
          </w:r>
          <w:r>
            <w:fldChar w:fldCharType="begin"/>
          </w:r>
          <w:r>
            <w:instrText xml:space="preserve"> PAGEREF _Toc1906990580 \h </w:instrText>
          </w:r>
          <w:r>
            <w:fldChar w:fldCharType="separate"/>
          </w:r>
          <w:r>
            <w:t>11</w:t>
          </w:r>
          <w:r>
            <w:fldChar w:fldCharType="end"/>
          </w:r>
          <w:r>
            <w:fldChar w:fldCharType="end"/>
          </w:r>
        </w:p>
        <w:p w14:paraId="0F4125FA">
          <w:pPr>
            <w:pStyle w:val="6"/>
            <w:tabs>
              <w:tab w:val="right" w:leader="dot" w:pos="8310"/>
            </w:tabs>
          </w:pPr>
          <w:r>
            <w:fldChar w:fldCharType="begin"/>
          </w:r>
          <w:r>
            <w:instrText xml:space="preserve"> HYPERLINK \l _Toc1744730232 </w:instrText>
          </w:r>
          <w:r>
            <w:fldChar w:fldCharType="separate"/>
          </w:r>
          <w:r>
            <w:rPr>
              <w:rFonts w:hint="eastAsia" w:ascii="仿宋" w:hAnsi="仿宋" w:eastAsia="仿宋" w:cs="仿宋"/>
              <w:snapToGrid w:val="0"/>
              <w:spacing w:val="9"/>
              <w:szCs w:val="30"/>
              <w:lang w:val="en-US" w:eastAsia="zh-CN"/>
              <w14:textOutline w14:w="5791" w14:cap="flat" w14:cmpd="sng" w14:algn="ctr">
                <w14:solidFill>
                  <w14:srgbClr w14:val="000000"/>
                </w14:solidFill>
                <w14:prstDash w14:val="solid"/>
                <w14:miter w14:val="0"/>
              </w14:textOutline>
            </w:rPr>
            <w:t>五、有关建议</w:t>
          </w:r>
          <w:r>
            <w:tab/>
          </w:r>
          <w:r>
            <w:fldChar w:fldCharType="begin"/>
          </w:r>
          <w:r>
            <w:instrText xml:space="preserve"> PAGEREF _Toc1744730232 \h </w:instrText>
          </w:r>
          <w:r>
            <w:fldChar w:fldCharType="separate"/>
          </w:r>
          <w:r>
            <w:t>11</w:t>
          </w:r>
          <w:r>
            <w:fldChar w:fldCharType="end"/>
          </w:r>
          <w:r>
            <w:fldChar w:fldCharType="end"/>
          </w:r>
        </w:p>
        <w:p w14:paraId="1FA8FC5F">
          <w:pPr>
            <w:pStyle w:val="7"/>
            <w:tabs>
              <w:tab w:val="right" w:leader="dot" w:pos="8310"/>
            </w:tabs>
          </w:pPr>
          <w:r>
            <w:fldChar w:fldCharType="begin"/>
          </w:r>
          <w:r>
            <w:instrText xml:space="preserve"> HYPERLINK \l _Toc1939293086 </w:instrText>
          </w:r>
          <w:r>
            <w:fldChar w:fldCharType="separate"/>
          </w:r>
          <w:r>
            <w:rPr>
              <w:rFonts w:hint="eastAsia" w:ascii="仿宋" w:hAnsi="仿宋" w:eastAsia="仿宋" w:cs="仿宋"/>
              <w:snapToGrid w:val="0"/>
              <w:szCs w:val="30"/>
              <w:lang w:val="en-US" w:eastAsia="zh-CN" w:bidi="ar-SA"/>
            </w:rPr>
            <w:t>（一）加强固定资产盘点与清查，提升管理精准性</w:t>
          </w:r>
          <w:r>
            <w:tab/>
          </w:r>
          <w:r>
            <w:fldChar w:fldCharType="begin"/>
          </w:r>
          <w:r>
            <w:instrText xml:space="preserve"> PAGEREF _Toc1939293086 \h </w:instrText>
          </w:r>
          <w:r>
            <w:fldChar w:fldCharType="separate"/>
          </w:r>
          <w:r>
            <w:t>11</w:t>
          </w:r>
          <w:r>
            <w:fldChar w:fldCharType="end"/>
          </w:r>
          <w:r>
            <w:fldChar w:fldCharType="end"/>
          </w:r>
        </w:p>
        <w:p w14:paraId="5E61A73A">
          <w:pPr>
            <w:pStyle w:val="7"/>
            <w:tabs>
              <w:tab w:val="right" w:leader="dot" w:pos="8310"/>
            </w:tabs>
          </w:pPr>
          <w:r>
            <w:fldChar w:fldCharType="begin"/>
          </w:r>
          <w:r>
            <w:instrText xml:space="preserve"> HYPERLINK \l _Toc1339585883 </w:instrText>
          </w:r>
          <w:r>
            <w:fldChar w:fldCharType="separate"/>
          </w:r>
          <w:r>
            <w:rPr>
              <w:rFonts w:hint="eastAsia" w:ascii="仿宋" w:hAnsi="仿宋" w:eastAsia="仿宋" w:cs="仿宋"/>
              <w:snapToGrid w:val="0"/>
              <w:szCs w:val="30"/>
              <w:lang w:val="en-US" w:eastAsia="zh-CN" w:bidi="ar-SA"/>
            </w:rPr>
            <w:t>（二）优化工作评价机制，提高满意度调查覆盖率与频率</w:t>
          </w:r>
          <w:r>
            <w:tab/>
          </w:r>
          <w:r>
            <w:fldChar w:fldCharType="begin"/>
          </w:r>
          <w:r>
            <w:instrText xml:space="preserve"> PAGEREF _Toc1339585883 \h </w:instrText>
          </w:r>
          <w:r>
            <w:fldChar w:fldCharType="separate"/>
          </w:r>
          <w:r>
            <w:t>12</w:t>
          </w:r>
          <w:r>
            <w:fldChar w:fldCharType="end"/>
          </w:r>
          <w:r>
            <w:fldChar w:fldCharType="end"/>
          </w:r>
        </w:p>
        <w:p w14:paraId="1D45EE4C">
          <w:pPr>
            <w:pStyle w:val="6"/>
            <w:tabs>
              <w:tab w:val="right" w:leader="dot" w:pos="8310"/>
            </w:tabs>
          </w:pPr>
          <w:r>
            <w:fldChar w:fldCharType="begin"/>
          </w:r>
          <w:r>
            <w:instrText xml:space="preserve"> HYPERLINK \l _Toc201380433 </w:instrText>
          </w:r>
          <w:r>
            <w:fldChar w:fldCharType="separate"/>
          </w:r>
          <w:r>
            <w:rPr>
              <w:rFonts w:hint="eastAsia" w:ascii="仿宋" w:hAnsi="仿宋" w:eastAsia="仿宋" w:cs="仿宋"/>
              <w:snapToGrid w:val="0"/>
              <w:spacing w:val="9"/>
              <w:szCs w:val="30"/>
              <w:lang w:val="en-US" w:eastAsia="zh-CN"/>
              <w14:textOutline w14:w="5791" w14:cap="flat" w14:cmpd="sng" w14:algn="ctr">
                <w14:solidFill>
                  <w14:srgbClr w14:val="000000"/>
                </w14:solidFill>
                <w14:prstDash w14:val="solid"/>
                <w14:miter w14:val="0"/>
              </w14:textOutline>
            </w:rPr>
            <w:t>六、评价工作开展情况</w:t>
          </w:r>
          <w:r>
            <w:tab/>
          </w:r>
          <w:r>
            <w:fldChar w:fldCharType="begin"/>
          </w:r>
          <w:r>
            <w:instrText xml:space="preserve"> PAGEREF _Toc201380433 \h </w:instrText>
          </w:r>
          <w:r>
            <w:fldChar w:fldCharType="separate"/>
          </w:r>
          <w:r>
            <w:t>12</w:t>
          </w:r>
          <w:r>
            <w:fldChar w:fldCharType="end"/>
          </w:r>
          <w:r>
            <w:fldChar w:fldCharType="end"/>
          </w:r>
        </w:p>
        <w:p w14:paraId="5C1AC7A3">
          <w:pPr>
            <w:pStyle w:val="7"/>
            <w:tabs>
              <w:tab w:val="right" w:leader="dot" w:pos="8310"/>
            </w:tabs>
          </w:pPr>
          <w:r>
            <w:fldChar w:fldCharType="begin"/>
          </w:r>
          <w:r>
            <w:instrText xml:space="preserve"> HYPERLINK \l _Toc166709759 </w:instrText>
          </w:r>
          <w:r>
            <w:fldChar w:fldCharType="separate"/>
          </w:r>
          <w:r>
            <w:rPr>
              <w:rFonts w:hint="eastAsia" w:ascii="仿宋" w:hAnsi="仿宋" w:eastAsia="仿宋" w:cs="仿宋"/>
              <w:snapToGrid w:val="0"/>
              <w:szCs w:val="30"/>
              <w:lang w:val="en-US" w:eastAsia="zh-CN" w:bidi="ar-SA"/>
            </w:rPr>
            <w:t>（一）基本情况</w:t>
          </w:r>
          <w:r>
            <w:tab/>
          </w:r>
          <w:r>
            <w:fldChar w:fldCharType="begin"/>
          </w:r>
          <w:r>
            <w:instrText xml:space="preserve"> PAGEREF _Toc166709759 \h </w:instrText>
          </w:r>
          <w:r>
            <w:fldChar w:fldCharType="separate"/>
          </w:r>
          <w:r>
            <w:t>12</w:t>
          </w:r>
          <w:r>
            <w:fldChar w:fldCharType="end"/>
          </w:r>
          <w:r>
            <w:fldChar w:fldCharType="end"/>
          </w:r>
        </w:p>
        <w:p w14:paraId="61D80713">
          <w:pPr>
            <w:pStyle w:val="7"/>
            <w:tabs>
              <w:tab w:val="right" w:leader="dot" w:pos="8310"/>
            </w:tabs>
          </w:pPr>
          <w:r>
            <w:fldChar w:fldCharType="begin"/>
          </w:r>
          <w:r>
            <w:instrText xml:space="preserve"> HYPERLINK \l _Toc1572243825 </w:instrText>
          </w:r>
          <w:r>
            <w:fldChar w:fldCharType="separate"/>
          </w:r>
          <w:r>
            <w:rPr>
              <w:rFonts w:hint="eastAsia" w:ascii="仿宋" w:hAnsi="仿宋" w:eastAsia="仿宋" w:cs="仿宋"/>
              <w:snapToGrid w:val="0"/>
              <w:kern w:val="0"/>
              <w:szCs w:val="30"/>
              <w:lang w:val="en-US" w:eastAsia="zh-CN" w:bidi="ar-SA"/>
            </w:rPr>
            <w:t>（二）评价组织实施</w:t>
          </w:r>
          <w:r>
            <w:tab/>
          </w:r>
          <w:r>
            <w:fldChar w:fldCharType="begin"/>
          </w:r>
          <w:r>
            <w:instrText xml:space="preserve"> PAGEREF _Toc1572243825 \h </w:instrText>
          </w:r>
          <w:r>
            <w:fldChar w:fldCharType="separate"/>
          </w:r>
          <w:r>
            <w:t>17</w:t>
          </w:r>
          <w:r>
            <w:fldChar w:fldCharType="end"/>
          </w:r>
          <w:r>
            <w:fldChar w:fldCharType="end"/>
          </w:r>
        </w:p>
        <w:p w14:paraId="3D147D0C">
          <w:pPr>
            <w:pStyle w:val="7"/>
            <w:tabs>
              <w:tab w:val="right" w:leader="dot" w:pos="8310"/>
            </w:tabs>
            <w:ind w:left="0" w:leftChars="0"/>
          </w:pPr>
          <w:r>
            <w:fldChar w:fldCharType="begin"/>
          </w:r>
          <w:r>
            <w:instrText xml:space="preserve"> HYPERLINK \l _Toc2063174087 </w:instrText>
          </w:r>
          <w:r>
            <w:fldChar w:fldCharType="separate"/>
          </w:r>
          <w:r>
            <w:rPr>
              <w:rStyle w:val="19"/>
              <w:rFonts w:hint="eastAsia" w:ascii="仿宋" w:hAnsi="仿宋" w:eastAsia="仿宋" w:cs="仿宋"/>
              <w:bCs/>
              <w:spacing w:val="1"/>
              <w:w w:val="95"/>
              <w:szCs w:val="30"/>
              <w:lang w:val="en-US" w:eastAsia="zh-CN" w:bidi="ar-SA"/>
            </w:rPr>
            <w:t>附件：绩效评价指标体系得分情况表</w:t>
          </w:r>
          <w:r>
            <w:tab/>
          </w:r>
          <w:r>
            <w:fldChar w:fldCharType="begin"/>
          </w:r>
          <w:r>
            <w:instrText xml:space="preserve"> PAGEREF _Toc2063174087 \h </w:instrText>
          </w:r>
          <w:r>
            <w:fldChar w:fldCharType="separate"/>
          </w:r>
          <w:r>
            <w:t>17</w:t>
          </w:r>
          <w:r>
            <w:fldChar w:fldCharType="end"/>
          </w:r>
          <w:r>
            <w:fldChar w:fldCharType="end"/>
          </w:r>
        </w:p>
        <w:p w14:paraId="65FD399E">
          <w:r>
            <w:fldChar w:fldCharType="end"/>
          </w:r>
        </w:p>
        <w:p w14:paraId="1B0D8E28"/>
      </w:sdtContent>
    </w:sdt>
    <w:p w14:paraId="0778A27C">
      <w:pPr>
        <w:pStyle w:val="3"/>
        <w:keepNext w:val="0"/>
        <w:keepLines w:val="0"/>
        <w:pageBreakBefore w:val="0"/>
        <w:widowControl w:val="0"/>
        <w:kinsoku/>
        <w:wordWrap/>
        <w:overflowPunct/>
        <w:topLinePunct w:val="0"/>
        <w:autoSpaceDE w:val="0"/>
        <w:autoSpaceDN w:val="0"/>
        <w:bidi w:val="0"/>
        <w:adjustRightInd/>
        <w:snapToGrid/>
        <w:spacing w:before="46" w:line="365" w:lineRule="auto"/>
        <w:ind w:left="0" w:leftChars="0" w:right="0" w:rightChars="0" w:firstLine="0" w:firstLineChars="0"/>
        <w:jc w:val="both"/>
        <w:textAlignment w:val="auto"/>
        <w:outlineLvl w:val="0"/>
        <w:rPr>
          <w:rFonts w:hint="eastAsia" w:ascii="仿宋" w:hAnsi="仿宋" w:eastAsia="仿宋" w:cs="仿宋"/>
          <w:snapToGrid w:val="0"/>
          <w:color w:val="000000"/>
          <w:spacing w:val="9"/>
          <w:kern w:val="0"/>
          <w:sz w:val="32"/>
          <w:szCs w:val="32"/>
          <w14:textOutline w14:w="5791" w14:cap="flat" w14:cmpd="sng">
            <w14:solidFill>
              <w14:srgbClr w14:val="000000"/>
            </w14:solidFill>
            <w14:prstDash w14:val="solid"/>
            <w14:miter w14:val="0"/>
          </w14:textOutline>
        </w:rPr>
        <w:sectPr>
          <w:footerReference r:id="rId5" w:type="default"/>
          <w:pgSz w:w="11910" w:h="16840"/>
          <w:pgMar w:top="1440" w:right="1800" w:bottom="1440" w:left="1800" w:header="0" w:footer="1197" w:gutter="0"/>
          <w:pgBorders>
            <w:top w:val="none" w:sz="0" w:space="0"/>
            <w:left w:val="none" w:sz="0" w:space="0"/>
            <w:bottom w:val="none" w:sz="0" w:space="0"/>
            <w:right w:val="none" w:sz="0" w:space="0"/>
          </w:pgBorders>
          <w:cols w:space="720" w:num="1"/>
        </w:sectPr>
      </w:pPr>
      <w:bookmarkStart w:id="4" w:name="_Toc17700"/>
    </w:p>
    <w:p w14:paraId="4830C8A2">
      <w:pPr>
        <w:keepNext w:val="0"/>
        <w:keepLines w:val="0"/>
        <w:pageBreakBefore w:val="0"/>
        <w:widowControl w:val="0"/>
        <w:kinsoku/>
        <w:wordWrap/>
        <w:overflowPunct/>
        <w:topLinePunct w:val="0"/>
        <w:autoSpaceDE w:val="0"/>
        <w:autoSpaceDN w:val="0"/>
        <w:bidi w:val="0"/>
        <w:adjustRightInd/>
        <w:snapToGrid/>
        <w:spacing w:before="46" w:line="365" w:lineRule="auto"/>
        <w:ind w:left="0" w:leftChars="0" w:right="0" w:rightChars="0" w:firstLine="0" w:firstLineChars="0"/>
        <w:jc w:val="center"/>
        <w:textAlignment w:val="auto"/>
        <w:outlineLvl w:val="9"/>
        <w:rPr>
          <w:rFonts w:hint="eastAsia" w:ascii="仿宋" w:hAnsi="仿宋" w:eastAsia="仿宋" w:cs="仿宋"/>
          <w:snapToGrid w:val="0"/>
          <w:color w:val="000000"/>
          <w:spacing w:val="9"/>
          <w:kern w:val="0"/>
          <w:sz w:val="32"/>
          <w:szCs w:val="32"/>
          <w:lang w:val="en-US" w:eastAsia="zh-CN"/>
          <w14:textOutline w14:w="5791" w14:cap="flat" w14:cmpd="sng">
            <w14:solidFill>
              <w14:srgbClr w14:val="000000"/>
            </w14:solidFill>
            <w14:prstDash w14:val="solid"/>
            <w14:miter w14:val="0"/>
          </w14:textOutline>
        </w:rPr>
      </w:pPr>
      <w:r>
        <w:rPr>
          <w:rFonts w:hint="eastAsia" w:ascii="仿宋" w:hAnsi="仿宋" w:eastAsia="仿宋" w:cs="仿宋"/>
          <w:snapToGrid w:val="0"/>
          <w:color w:val="000000"/>
          <w:spacing w:val="9"/>
          <w:kern w:val="0"/>
          <w:sz w:val="32"/>
          <w:szCs w:val="32"/>
          <w14:textOutline w14:w="5791" w14:cap="flat" w14:cmpd="sng">
            <w14:solidFill>
              <w14:srgbClr w14:val="000000"/>
            </w14:solidFill>
            <w14:prstDash w14:val="solid"/>
            <w14:miter w14:val="0"/>
          </w14:textOutline>
        </w:rPr>
        <w:t>202</w:t>
      </w:r>
      <w:r>
        <w:rPr>
          <w:rFonts w:hint="eastAsia" w:ascii="仿宋" w:hAnsi="仿宋" w:eastAsia="仿宋" w:cs="仿宋"/>
          <w:snapToGrid w:val="0"/>
          <w:color w:val="000000"/>
          <w:spacing w:val="9"/>
          <w:kern w:val="0"/>
          <w:sz w:val="32"/>
          <w:szCs w:val="32"/>
          <w:lang w:val="en-US" w:eastAsia="zh-CN"/>
          <w14:textOutline w14:w="5791" w14:cap="flat" w14:cmpd="sng">
            <w14:solidFill>
              <w14:srgbClr w14:val="000000"/>
            </w14:solidFill>
            <w14:prstDash w14:val="solid"/>
            <w14:miter w14:val="0"/>
          </w14:textOutline>
        </w:rPr>
        <w:t>3</w:t>
      </w:r>
      <w:r>
        <w:rPr>
          <w:rFonts w:hint="eastAsia" w:ascii="仿宋" w:hAnsi="仿宋" w:eastAsia="仿宋" w:cs="仿宋"/>
          <w:snapToGrid w:val="0"/>
          <w:color w:val="000000"/>
          <w:spacing w:val="9"/>
          <w:kern w:val="0"/>
          <w:sz w:val="32"/>
          <w:szCs w:val="32"/>
          <w14:textOutline w14:w="5791" w14:cap="flat" w14:cmpd="sng">
            <w14:solidFill>
              <w14:srgbClr w14:val="000000"/>
            </w14:solidFill>
            <w14:prstDash w14:val="solid"/>
            <w14:miter w14:val="0"/>
          </w14:textOutline>
        </w:rPr>
        <w:t>年度南京市文化和旅游局-南京市旅游</w:t>
      </w:r>
      <w:r>
        <w:rPr>
          <w:rFonts w:hint="eastAsia" w:ascii="仿宋" w:hAnsi="仿宋" w:eastAsia="仿宋" w:cs="仿宋"/>
          <w:snapToGrid w:val="0"/>
          <w:color w:val="000000"/>
          <w:spacing w:val="9"/>
          <w:kern w:val="0"/>
          <w:sz w:val="32"/>
          <w:szCs w:val="32"/>
          <w:lang w:val="en-US" w:eastAsia="zh-CN"/>
          <w14:textOutline w14:w="5791" w14:cap="flat" w14:cmpd="sng">
            <w14:solidFill>
              <w14:srgbClr w14:val="000000"/>
            </w14:solidFill>
            <w14:prstDash w14:val="solid"/>
            <w14:miter w14:val="0"/>
          </w14:textOutline>
        </w:rPr>
        <w:t>形象</w:t>
      </w:r>
    </w:p>
    <w:p w14:paraId="24218C0C">
      <w:pPr>
        <w:keepNext w:val="0"/>
        <w:keepLines w:val="0"/>
        <w:pageBreakBefore w:val="0"/>
        <w:widowControl w:val="0"/>
        <w:kinsoku/>
        <w:wordWrap/>
        <w:overflowPunct/>
        <w:topLinePunct w:val="0"/>
        <w:autoSpaceDE w:val="0"/>
        <w:autoSpaceDN w:val="0"/>
        <w:bidi w:val="0"/>
        <w:adjustRightInd/>
        <w:snapToGrid/>
        <w:spacing w:before="46" w:line="365" w:lineRule="auto"/>
        <w:ind w:left="0" w:leftChars="0" w:right="0" w:rightChars="0" w:firstLine="0" w:firstLineChars="0"/>
        <w:jc w:val="center"/>
        <w:textAlignment w:val="auto"/>
        <w:outlineLvl w:val="9"/>
        <w:rPr>
          <w:rFonts w:hint="eastAsia" w:ascii="仿宋" w:hAnsi="仿宋" w:eastAsia="仿宋" w:cs="仿宋"/>
          <w:snapToGrid w:val="0"/>
          <w:color w:val="000000"/>
          <w:spacing w:val="9"/>
          <w:kern w:val="0"/>
          <w:sz w:val="32"/>
          <w:szCs w:val="32"/>
          <w14:textOutline w14:w="5791" w14:cap="flat" w14:cmpd="sng">
            <w14:solidFill>
              <w14:srgbClr w14:val="000000"/>
            </w14:solidFill>
            <w14:prstDash w14:val="solid"/>
            <w14:miter w14:val="0"/>
          </w14:textOutline>
        </w:rPr>
      </w:pPr>
      <w:r>
        <w:rPr>
          <w:rFonts w:hint="eastAsia" w:ascii="仿宋" w:hAnsi="仿宋" w:eastAsia="仿宋" w:cs="仿宋"/>
          <w:snapToGrid w:val="0"/>
          <w:color w:val="000000"/>
          <w:spacing w:val="9"/>
          <w:kern w:val="0"/>
          <w:sz w:val="32"/>
          <w:szCs w:val="32"/>
          <w14:textOutline w14:w="5791" w14:cap="flat" w14:cmpd="sng">
            <w14:solidFill>
              <w14:srgbClr w14:val="000000"/>
            </w14:solidFill>
            <w14:prstDash w14:val="solid"/>
            <w14:miter w14:val="0"/>
          </w14:textOutline>
        </w:rPr>
        <w:t>推广</w:t>
      </w:r>
      <w:bookmarkEnd w:id="4"/>
      <w:bookmarkStart w:id="5" w:name="_Toc30500"/>
      <w:r>
        <w:rPr>
          <w:rFonts w:hint="eastAsia" w:ascii="仿宋" w:hAnsi="仿宋" w:eastAsia="仿宋" w:cs="仿宋"/>
          <w:snapToGrid w:val="0"/>
          <w:color w:val="000000"/>
          <w:spacing w:val="9"/>
          <w:kern w:val="0"/>
          <w:sz w:val="32"/>
          <w:szCs w:val="32"/>
          <w14:textOutline w14:w="5791" w14:cap="flat" w14:cmpd="sng">
            <w14:solidFill>
              <w14:srgbClr w14:val="000000"/>
            </w14:solidFill>
            <w14:prstDash w14:val="solid"/>
            <w14:miter w14:val="0"/>
          </w14:textOutline>
        </w:rPr>
        <w:t>中心</w:t>
      </w:r>
      <w:r>
        <w:rPr>
          <w:rFonts w:hint="eastAsia" w:ascii="仿宋" w:hAnsi="仿宋" w:eastAsia="仿宋" w:cs="仿宋"/>
          <w:snapToGrid w:val="0"/>
          <w:color w:val="000000"/>
          <w:spacing w:val="9"/>
          <w:kern w:val="0"/>
          <w:sz w:val="32"/>
          <w:szCs w:val="32"/>
          <w:lang w:val="en-US" w:eastAsia="zh-CN"/>
          <w14:textOutline w14:w="5791" w14:cap="flat" w14:cmpd="sng">
            <w14:solidFill>
              <w14:srgbClr w14:val="000000"/>
            </w14:solidFill>
            <w14:prstDash w14:val="solid"/>
            <w14:miter w14:val="0"/>
          </w14:textOutline>
        </w:rPr>
        <w:t>部门</w:t>
      </w:r>
      <w:r>
        <w:rPr>
          <w:rFonts w:hint="eastAsia" w:ascii="仿宋" w:hAnsi="仿宋" w:eastAsia="仿宋" w:cs="仿宋"/>
          <w:snapToGrid w:val="0"/>
          <w:color w:val="000000"/>
          <w:spacing w:val="9"/>
          <w:kern w:val="0"/>
          <w:sz w:val="32"/>
          <w:szCs w:val="32"/>
          <w14:textOutline w14:w="5791" w14:cap="flat" w14:cmpd="sng">
            <w14:solidFill>
              <w14:srgbClr w14:val="000000"/>
            </w14:solidFill>
            <w14:prstDash w14:val="solid"/>
            <w14:miter w14:val="0"/>
          </w14:textOutline>
        </w:rPr>
        <w:t>整体绩效自评价报告</w:t>
      </w:r>
      <w:bookmarkEnd w:id="5"/>
    </w:p>
    <w:p w14:paraId="5C7A0860">
      <w:pPr>
        <w:pStyle w:val="2"/>
        <w:spacing w:before="8"/>
        <w:ind w:left="0"/>
        <w:rPr>
          <w:rFonts w:hint="eastAsia" w:ascii="仿宋" w:hAnsi="仿宋" w:eastAsia="仿宋" w:cs="仿宋"/>
          <w:b/>
          <w:sz w:val="32"/>
          <w:szCs w:val="32"/>
        </w:rPr>
      </w:pPr>
    </w:p>
    <w:p w14:paraId="5800D382">
      <w:pPr>
        <w:keepNext w:val="0"/>
        <w:keepLines w:val="0"/>
        <w:pageBreakBefore w:val="0"/>
        <w:widowControl/>
        <w:kinsoku/>
        <w:wordWrap/>
        <w:overflowPunct/>
        <w:topLinePunct w:val="0"/>
        <w:autoSpaceDE w:val="0"/>
        <w:autoSpaceDN w:val="0"/>
        <w:bidi w:val="0"/>
        <w:adjustRightInd w:val="0"/>
        <w:snapToGrid w:val="0"/>
        <w:spacing w:beforeLines="0" w:line="360" w:lineRule="auto"/>
        <w:ind w:left="0" w:firstLine="600" w:firstLineChars="200"/>
        <w:jc w:val="both"/>
        <w:textAlignment w:val="baseline"/>
        <w:outlineLvl w:val="9"/>
        <w:rPr>
          <w:rFonts w:hint="eastAsia"/>
        </w:rPr>
      </w:pPr>
      <w:r>
        <w:rPr>
          <w:rFonts w:hint="eastAsia" w:ascii="仿宋" w:hAnsi="仿宋" w:eastAsia="仿宋" w:cs="仿宋"/>
          <w:snapToGrid w:val="0"/>
          <w:color w:val="000000"/>
          <w:kern w:val="0"/>
          <w:sz w:val="30"/>
          <w:szCs w:val="30"/>
          <w:lang w:val="en-US" w:eastAsia="zh-CN"/>
        </w:rPr>
        <w:t>为了强化部门预算绩效管理水平，更好地规范部门预算编制、执行的程序性和合理性、合规性，提升部门支出的经济性、效率性和效益性，更好地促进部门履职、部门管理和事业发展。根据《预算法》及其实施条例，我们对南京市文化和旅游局——</w:t>
      </w:r>
      <w:r>
        <w:rPr>
          <w:rFonts w:hint="eastAsia" w:ascii="仿宋" w:hAnsi="仿宋" w:eastAsia="仿宋" w:cs="仿宋"/>
          <w:w w:val="95"/>
          <w:sz w:val="32"/>
          <w:szCs w:val="32"/>
        </w:rPr>
        <w:t>南京市旅游形象推广中心</w:t>
      </w:r>
      <w:r>
        <w:rPr>
          <w:rFonts w:hint="eastAsia" w:ascii="仿宋" w:hAnsi="仿宋" w:eastAsia="仿宋" w:cs="仿宋"/>
          <w:snapToGrid w:val="0"/>
          <w:color w:val="000000"/>
          <w:kern w:val="0"/>
          <w:sz w:val="30"/>
          <w:szCs w:val="30"/>
          <w:lang w:val="en-US" w:eastAsia="zh-CN"/>
        </w:rPr>
        <w:t>2023年度预算绩效管理情况进行了整体评价。</w:t>
      </w:r>
    </w:p>
    <w:p w14:paraId="2A4CFFD9">
      <w:pPr>
        <w:keepNext w:val="0"/>
        <w:keepLines w:val="0"/>
        <w:pageBreakBefore w:val="0"/>
        <w:widowControl/>
        <w:kinsoku w:val="0"/>
        <w:wordWrap/>
        <w:overflowPunct/>
        <w:topLinePunct w:val="0"/>
        <w:autoSpaceDE w:val="0"/>
        <w:autoSpaceDN w:val="0"/>
        <w:bidi w:val="0"/>
        <w:adjustRightInd w:val="0"/>
        <w:snapToGrid w:val="0"/>
        <w:spacing w:beforeLines="0" w:line="360" w:lineRule="auto"/>
        <w:ind w:left="0" w:firstLine="692" w:firstLineChars="200"/>
        <w:jc w:val="both"/>
        <w:textAlignment w:val="baseline"/>
        <w:outlineLvl w:val="9"/>
        <w:rPr>
          <w:rFonts w:hint="eastAsia" w:ascii="仿宋" w:hAnsi="仿宋" w:eastAsia="仿宋" w:cs="仿宋"/>
          <w:snapToGrid w:val="0"/>
          <w:color w:val="000000"/>
          <w:spacing w:val="13"/>
          <w:kern w:val="0"/>
          <w:sz w:val="32"/>
          <w:szCs w:val="32"/>
          <w:lang w:val="en-US" w:eastAsia="zh-CN"/>
          <w14:textOutline w14:w="5791" w14:cap="flat" w14:cmpd="sng">
            <w14:solidFill>
              <w14:srgbClr w14:val="000000"/>
            </w14:solidFill>
            <w14:prstDash w14:val="solid"/>
            <w14:miter w14:val="0"/>
          </w14:textOutline>
        </w:rPr>
      </w:pPr>
      <w:bookmarkStart w:id="6" w:name="一、单位基本情况"/>
      <w:bookmarkEnd w:id="6"/>
      <w:bookmarkStart w:id="7" w:name="（一）单位概况"/>
      <w:bookmarkEnd w:id="7"/>
      <w:bookmarkStart w:id="8" w:name="_Toc13901719"/>
      <w:bookmarkStart w:id="9" w:name="_Toc15612"/>
    </w:p>
    <w:p w14:paraId="5D788F9A">
      <w:pPr>
        <w:keepNext w:val="0"/>
        <w:keepLines w:val="0"/>
        <w:pageBreakBefore w:val="0"/>
        <w:widowControl/>
        <w:kinsoku w:val="0"/>
        <w:wordWrap/>
        <w:overflowPunct/>
        <w:topLinePunct w:val="0"/>
        <w:autoSpaceDE w:val="0"/>
        <w:autoSpaceDN w:val="0"/>
        <w:bidi w:val="0"/>
        <w:adjustRightInd w:val="0"/>
        <w:snapToGrid w:val="0"/>
        <w:spacing w:beforeLines="0" w:line="360" w:lineRule="auto"/>
        <w:ind w:firstLine="632" w:firstLineChars="200"/>
        <w:jc w:val="left"/>
        <w:textAlignment w:val="baseline"/>
        <w:outlineLvl w:val="0"/>
        <w:rPr>
          <w:rFonts w:hint="eastAsia" w:ascii="仿宋" w:hAnsi="仿宋" w:eastAsia="仿宋" w:cs="仿宋"/>
          <w:snapToGrid w:val="0"/>
          <w:color w:val="000000"/>
          <w:spacing w:val="8"/>
          <w:kern w:val="0"/>
          <w:sz w:val="30"/>
          <w:szCs w:val="30"/>
          <w:lang w:val="en-US" w:eastAsia="zh-CN"/>
          <w14:textOutline w14:w="5791" w14:cap="flat" w14:cmpd="sng">
            <w14:solidFill>
              <w14:srgbClr w14:val="000000"/>
            </w14:solidFill>
            <w14:prstDash w14:val="solid"/>
            <w14:miter w14:val="0"/>
          </w14:textOutline>
        </w:rPr>
      </w:pPr>
      <w:bookmarkStart w:id="10" w:name="_Toc1306300903"/>
      <w:bookmarkStart w:id="11" w:name="_Toc43740553"/>
      <w:bookmarkStart w:id="12" w:name="_Toc1325557519"/>
      <w:bookmarkStart w:id="13" w:name="_Toc530191859"/>
      <w:bookmarkStart w:id="14" w:name="_Toc216835299"/>
      <w:bookmarkStart w:id="15" w:name="_Toc31662"/>
      <w:bookmarkStart w:id="16" w:name="_Toc623541314"/>
      <w:bookmarkStart w:id="17" w:name="_Toc538831439"/>
      <w:bookmarkStart w:id="18" w:name="_Toc983282869"/>
      <w:bookmarkStart w:id="19" w:name="_Toc2101049410"/>
      <w:bookmarkStart w:id="20" w:name="_Toc1689352775"/>
      <w:r>
        <w:rPr>
          <w:rFonts w:hint="eastAsia" w:ascii="仿宋" w:hAnsi="仿宋" w:eastAsia="仿宋" w:cs="仿宋"/>
          <w:snapToGrid w:val="0"/>
          <w:color w:val="000000"/>
          <w:spacing w:val="8"/>
          <w:kern w:val="0"/>
          <w:sz w:val="30"/>
          <w:szCs w:val="30"/>
          <w:lang w:val="en-US" w:eastAsia="zh-CN"/>
          <w14:textOutline w14:w="5791" w14:cap="flat" w14:cmpd="sng">
            <w14:solidFill>
              <w14:srgbClr w14:val="000000"/>
            </w14:solidFill>
            <w14:prstDash w14:val="solid"/>
            <w14:miter w14:val="0"/>
          </w14:textOutline>
        </w:rPr>
        <w:t>一、</w:t>
      </w:r>
      <w:bookmarkEnd w:id="8"/>
      <w:r>
        <w:rPr>
          <w:rFonts w:hint="eastAsia" w:ascii="仿宋" w:hAnsi="仿宋" w:eastAsia="仿宋" w:cs="仿宋"/>
          <w:snapToGrid w:val="0"/>
          <w:color w:val="000000"/>
          <w:spacing w:val="8"/>
          <w:kern w:val="0"/>
          <w:sz w:val="30"/>
          <w:szCs w:val="30"/>
          <w:lang w:val="en-US" w:eastAsia="zh-CN"/>
          <w14:textOutline w14:w="5791" w14:cap="flat" w14:cmpd="sng">
            <w14:solidFill>
              <w14:srgbClr w14:val="000000"/>
            </w14:solidFill>
            <w14:prstDash w14:val="solid"/>
            <w14:miter w14:val="0"/>
          </w14:textOutline>
        </w:rPr>
        <w:t>单位概况</w:t>
      </w:r>
      <w:bookmarkEnd w:id="9"/>
      <w:bookmarkEnd w:id="10"/>
      <w:bookmarkEnd w:id="11"/>
      <w:bookmarkEnd w:id="12"/>
      <w:bookmarkEnd w:id="13"/>
      <w:bookmarkEnd w:id="14"/>
      <w:bookmarkEnd w:id="15"/>
      <w:bookmarkEnd w:id="16"/>
      <w:bookmarkEnd w:id="17"/>
      <w:bookmarkEnd w:id="18"/>
      <w:bookmarkEnd w:id="19"/>
      <w:bookmarkEnd w:id="20"/>
    </w:p>
    <w:p w14:paraId="750BDC52">
      <w:pPr>
        <w:keepNext w:val="0"/>
        <w:keepLines w:val="0"/>
        <w:pageBreakBefore w:val="0"/>
        <w:widowControl/>
        <w:kinsoku/>
        <w:wordWrap/>
        <w:overflowPunct/>
        <w:topLinePunct w:val="0"/>
        <w:autoSpaceDE w:val="0"/>
        <w:autoSpaceDN w:val="0"/>
        <w:bidi w:val="0"/>
        <w:adjustRightInd w:val="0"/>
        <w:snapToGrid w:val="0"/>
        <w:spacing w:beforeLines="0" w:line="360" w:lineRule="auto"/>
        <w:ind w:left="0" w:firstLine="600" w:firstLineChars="200"/>
        <w:jc w:val="both"/>
        <w:textAlignment w:val="baseline"/>
        <w:outlineLvl w:val="1"/>
        <w:rPr>
          <w:rFonts w:hint="default" w:ascii="仿宋" w:hAnsi="仿宋" w:eastAsia="仿宋" w:cs="仿宋"/>
          <w:snapToGrid w:val="0"/>
          <w:color w:val="000000"/>
          <w:kern w:val="0"/>
          <w:sz w:val="30"/>
          <w:szCs w:val="30"/>
          <w:lang w:val="en-US" w:eastAsia="zh-CN"/>
        </w:rPr>
      </w:pPr>
      <w:bookmarkStart w:id="21" w:name="_Toc138667038"/>
      <w:bookmarkStart w:id="22" w:name="_Toc2725"/>
      <w:bookmarkStart w:id="23" w:name="_Toc1148515618"/>
      <w:bookmarkStart w:id="24" w:name="_Toc12702"/>
      <w:bookmarkStart w:id="25" w:name="_Toc201455874"/>
      <w:bookmarkStart w:id="26" w:name="_Toc1273953440"/>
      <w:bookmarkStart w:id="27" w:name="_Toc1024922810"/>
      <w:bookmarkStart w:id="28" w:name="_Toc1070792438"/>
      <w:bookmarkStart w:id="29" w:name="_Toc649867855"/>
      <w:bookmarkStart w:id="30" w:name="_Toc708066997"/>
      <w:bookmarkStart w:id="31" w:name="_Toc1263826249"/>
      <w:bookmarkStart w:id="32" w:name="_Toc71121334"/>
      <w:r>
        <w:rPr>
          <w:rFonts w:hint="eastAsia" w:ascii="仿宋" w:hAnsi="仿宋" w:eastAsia="仿宋" w:cs="仿宋"/>
          <w:snapToGrid w:val="0"/>
          <w:color w:val="000000"/>
          <w:kern w:val="0"/>
          <w:sz w:val="30"/>
          <w:szCs w:val="30"/>
          <w:lang w:val="en-US" w:eastAsia="zh-CN"/>
        </w:rPr>
        <w:t>（一）单位基本情况</w:t>
      </w:r>
      <w:bookmarkEnd w:id="21"/>
      <w:bookmarkEnd w:id="22"/>
      <w:bookmarkEnd w:id="23"/>
      <w:bookmarkEnd w:id="24"/>
      <w:bookmarkEnd w:id="25"/>
      <w:bookmarkEnd w:id="26"/>
      <w:bookmarkEnd w:id="27"/>
      <w:bookmarkEnd w:id="28"/>
      <w:bookmarkEnd w:id="29"/>
      <w:bookmarkEnd w:id="30"/>
      <w:bookmarkEnd w:id="31"/>
      <w:bookmarkEnd w:id="32"/>
    </w:p>
    <w:p w14:paraId="4686E725">
      <w:pPr>
        <w:keepNext w:val="0"/>
        <w:keepLines w:val="0"/>
        <w:pageBreakBefore w:val="0"/>
        <w:widowControl/>
        <w:kinsoku/>
        <w:wordWrap/>
        <w:overflowPunct/>
        <w:topLinePunct w:val="0"/>
        <w:autoSpaceDE w:val="0"/>
        <w:autoSpaceDN w:val="0"/>
        <w:bidi w:val="0"/>
        <w:adjustRightInd w:val="0"/>
        <w:snapToGrid w:val="0"/>
        <w:spacing w:beforeLines="0" w:line="360" w:lineRule="auto"/>
        <w:ind w:left="0" w:firstLine="600" w:firstLineChars="200"/>
        <w:jc w:val="both"/>
        <w:textAlignment w:val="baseline"/>
        <w:outlineLvl w:val="2"/>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1.单位基本情况</w:t>
      </w:r>
    </w:p>
    <w:p w14:paraId="14ECB1F1">
      <w:pPr>
        <w:keepNext w:val="0"/>
        <w:keepLines w:val="0"/>
        <w:pageBreakBefore w:val="0"/>
        <w:widowControl/>
        <w:kinsoku/>
        <w:wordWrap/>
        <w:overflowPunct/>
        <w:topLinePunct w:val="0"/>
        <w:autoSpaceDE w:val="0"/>
        <w:autoSpaceDN w:val="0"/>
        <w:bidi w:val="0"/>
        <w:adjustRightInd w:val="0"/>
        <w:snapToGrid w:val="0"/>
        <w:spacing w:beforeLines="0" w:line="360" w:lineRule="auto"/>
        <w:ind w:left="0" w:firstLine="600" w:firstLineChars="200"/>
        <w:jc w:val="both"/>
        <w:textAlignment w:val="baseline"/>
        <w:outlineLvl w:val="9"/>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南京市旅游形象推广中心是依据《关于印发〈南京市旅游形象推广中心（南京市商务会展旅游促进中心）主要职责内设机构和人员编制规定〉的通知》（宁编办字〔2016〕195号）文件精神设置，于2016年11月15日成立，南京市文化和旅游局所属全额拨款事业单位，公益一类，相当于正处级。</w:t>
      </w:r>
    </w:p>
    <w:p w14:paraId="78533E76">
      <w:pPr>
        <w:keepNext w:val="0"/>
        <w:keepLines w:val="0"/>
        <w:pageBreakBefore w:val="0"/>
        <w:widowControl/>
        <w:kinsoku/>
        <w:wordWrap/>
        <w:overflowPunct/>
        <w:topLinePunct w:val="0"/>
        <w:autoSpaceDE w:val="0"/>
        <w:autoSpaceDN w:val="0"/>
        <w:bidi w:val="0"/>
        <w:adjustRightInd w:val="0"/>
        <w:snapToGrid w:val="0"/>
        <w:spacing w:beforeLines="0" w:line="360" w:lineRule="auto"/>
        <w:ind w:left="0" w:firstLine="600" w:firstLineChars="200"/>
        <w:jc w:val="both"/>
        <w:textAlignment w:val="baseline"/>
        <w:outlineLvl w:val="2"/>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2.单位主要职能</w:t>
      </w:r>
    </w:p>
    <w:p w14:paraId="5E9A3E2F">
      <w:pPr>
        <w:keepNext w:val="0"/>
        <w:keepLines w:val="0"/>
        <w:pageBreakBefore w:val="0"/>
        <w:widowControl/>
        <w:kinsoku/>
        <w:wordWrap/>
        <w:overflowPunct/>
        <w:topLinePunct w:val="0"/>
        <w:autoSpaceDE w:val="0"/>
        <w:autoSpaceDN w:val="0"/>
        <w:bidi w:val="0"/>
        <w:adjustRightInd w:val="0"/>
        <w:snapToGrid w:val="0"/>
        <w:spacing w:beforeLines="0" w:line="360" w:lineRule="auto"/>
        <w:ind w:left="0" w:firstLine="600" w:firstLineChars="200"/>
        <w:jc w:val="both"/>
        <w:textAlignment w:val="baseline"/>
        <w:outlineLvl w:val="9"/>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南京市旅游形象推广中心主要职能是促进南京城市形象提升、旅游产业转型升级；承担全市旅游形象策划、城乡旅游推广、商务会展旅游促进等。</w:t>
      </w:r>
    </w:p>
    <w:p w14:paraId="4E1C4579">
      <w:pPr>
        <w:keepNext w:val="0"/>
        <w:keepLines w:val="0"/>
        <w:pageBreakBefore w:val="0"/>
        <w:widowControl/>
        <w:kinsoku/>
        <w:wordWrap/>
        <w:overflowPunct/>
        <w:topLinePunct w:val="0"/>
        <w:autoSpaceDE w:val="0"/>
        <w:autoSpaceDN w:val="0"/>
        <w:bidi w:val="0"/>
        <w:adjustRightInd w:val="0"/>
        <w:snapToGrid w:val="0"/>
        <w:spacing w:beforeLines="0" w:line="360" w:lineRule="auto"/>
        <w:ind w:left="0" w:firstLine="600" w:firstLineChars="200"/>
        <w:jc w:val="both"/>
        <w:textAlignment w:val="baseline"/>
        <w:outlineLvl w:val="2"/>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3.单位内设机构及职责范围</w:t>
      </w:r>
    </w:p>
    <w:p w14:paraId="015DA184">
      <w:pPr>
        <w:keepNext w:val="0"/>
        <w:keepLines w:val="0"/>
        <w:pageBreakBefore w:val="0"/>
        <w:widowControl/>
        <w:kinsoku/>
        <w:wordWrap/>
        <w:overflowPunct/>
        <w:topLinePunct w:val="0"/>
        <w:autoSpaceDE w:val="0"/>
        <w:autoSpaceDN w:val="0"/>
        <w:bidi w:val="0"/>
        <w:adjustRightInd w:val="0"/>
        <w:snapToGrid w:val="0"/>
        <w:spacing w:beforeLines="0" w:line="360" w:lineRule="auto"/>
        <w:ind w:left="0" w:firstLine="600" w:firstLineChars="200"/>
        <w:jc w:val="both"/>
        <w:textAlignment w:val="baseline"/>
        <w:outlineLvl w:val="9"/>
        <w:rPr>
          <w:rFonts w:hint="eastAsia"/>
          <w:lang w:val="en-US" w:eastAsia="zh-CN"/>
        </w:rPr>
      </w:pPr>
      <w:r>
        <w:rPr>
          <w:rFonts w:hint="eastAsia" w:ascii="仿宋" w:hAnsi="仿宋" w:eastAsia="仿宋" w:cs="仿宋"/>
          <w:snapToGrid w:val="0"/>
          <w:color w:val="000000"/>
          <w:kern w:val="0"/>
          <w:sz w:val="30"/>
          <w:szCs w:val="30"/>
          <w:lang w:val="en-US" w:eastAsia="zh-CN"/>
        </w:rPr>
        <w:t>南京市旅游形象推广中心内设3个部门，其职责范围梳理如下：</w:t>
      </w:r>
    </w:p>
    <w:tbl>
      <w:tblPr>
        <w:tblStyle w:val="9"/>
        <w:tblW w:w="918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1"/>
        <w:gridCol w:w="7229"/>
      </w:tblGrid>
      <w:tr w14:paraId="5291FC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1951" w:type="dxa"/>
            <w:tcBorders>
              <w:top w:val="single" w:color="auto" w:sz="4" w:space="0"/>
              <w:left w:val="single" w:color="auto" w:sz="4" w:space="0"/>
              <w:bottom w:val="single" w:color="auto" w:sz="4" w:space="0"/>
              <w:right w:val="single" w:color="auto" w:sz="4" w:space="0"/>
            </w:tcBorders>
          </w:tcPr>
          <w:p w14:paraId="16C80ED6">
            <w:pPr>
              <w:pStyle w:val="14"/>
              <w:spacing w:beforeLines="0" w:line="360" w:lineRule="auto"/>
              <w:ind w:left="0" w:firstLine="0" w:firstLineChars="0"/>
              <w:rPr>
                <w:b/>
                <w:sz w:val="24"/>
              </w:rPr>
            </w:pPr>
            <w:r>
              <w:rPr>
                <w:rFonts w:hint="eastAsia" w:ascii="仿宋" w:hAnsi="仿宋" w:eastAsia="仿宋" w:cs="仿宋"/>
                <w:b/>
                <w:sz w:val="24"/>
              </w:rPr>
              <w:t>部门机构</w:t>
            </w:r>
          </w:p>
        </w:tc>
        <w:tc>
          <w:tcPr>
            <w:tcW w:w="7229" w:type="dxa"/>
            <w:tcBorders>
              <w:top w:val="single" w:color="auto" w:sz="4" w:space="0"/>
              <w:left w:val="single" w:color="auto" w:sz="4" w:space="0"/>
              <w:bottom w:val="single" w:color="auto" w:sz="4" w:space="0"/>
              <w:right w:val="single" w:color="auto" w:sz="4" w:space="0"/>
            </w:tcBorders>
          </w:tcPr>
          <w:p w14:paraId="2235A562">
            <w:pPr>
              <w:pStyle w:val="14"/>
              <w:spacing w:beforeLines="0" w:line="360" w:lineRule="auto"/>
              <w:ind w:left="0" w:right="0" w:firstLine="0" w:firstLineChars="0"/>
              <w:jc w:val="center"/>
              <w:rPr>
                <w:b/>
                <w:sz w:val="24"/>
              </w:rPr>
            </w:pPr>
            <w:r>
              <w:rPr>
                <w:rFonts w:hint="eastAsia" w:ascii="仿宋" w:hAnsi="仿宋" w:eastAsia="仿宋" w:cs="仿宋"/>
                <w:b/>
                <w:sz w:val="24"/>
              </w:rPr>
              <w:t>工作任务</w:t>
            </w:r>
          </w:p>
        </w:tc>
      </w:tr>
      <w:tr w14:paraId="10FB5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3" w:hRule="atLeast"/>
        </w:trPr>
        <w:tc>
          <w:tcPr>
            <w:tcW w:w="1951" w:type="dxa"/>
            <w:tcBorders>
              <w:top w:val="single" w:color="auto" w:sz="4" w:space="0"/>
              <w:left w:val="single" w:color="auto" w:sz="4" w:space="0"/>
              <w:bottom w:val="single" w:color="auto" w:sz="4" w:space="0"/>
              <w:right w:val="single" w:color="auto" w:sz="4" w:space="0"/>
            </w:tcBorders>
          </w:tcPr>
          <w:p w14:paraId="320DC66A">
            <w:pPr>
              <w:pStyle w:val="14"/>
              <w:spacing w:before="0" w:beforeLines="0" w:line="360" w:lineRule="auto"/>
              <w:ind w:firstLine="0" w:firstLineChars="0"/>
              <w:rPr>
                <w:rFonts w:hint="eastAsia" w:ascii="仿宋" w:hAnsi="仿宋" w:eastAsia="仿宋" w:cs="仿宋"/>
                <w:sz w:val="24"/>
                <w:szCs w:val="24"/>
              </w:rPr>
            </w:pPr>
          </w:p>
          <w:p w14:paraId="0842024B">
            <w:pPr>
              <w:pStyle w:val="14"/>
              <w:spacing w:beforeLines="0" w:line="360" w:lineRule="auto"/>
              <w:ind w:left="0" w:firstLine="0" w:firstLineChars="0"/>
              <w:rPr>
                <w:rFonts w:hint="eastAsia" w:ascii="仿宋" w:hAnsi="仿宋" w:eastAsia="仿宋" w:cs="仿宋"/>
                <w:sz w:val="24"/>
                <w:szCs w:val="24"/>
              </w:rPr>
            </w:pPr>
            <w:r>
              <w:rPr>
                <w:rFonts w:hint="eastAsia" w:ascii="仿宋" w:hAnsi="仿宋" w:eastAsia="仿宋" w:cs="仿宋"/>
                <w:sz w:val="24"/>
                <w:szCs w:val="24"/>
              </w:rPr>
              <w:t>综合管理科</w:t>
            </w:r>
          </w:p>
        </w:tc>
        <w:tc>
          <w:tcPr>
            <w:tcW w:w="7229" w:type="dxa"/>
            <w:tcBorders>
              <w:top w:val="single" w:color="auto" w:sz="4" w:space="0"/>
              <w:left w:val="single" w:color="auto" w:sz="4" w:space="0"/>
              <w:bottom w:val="single" w:color="auto" w:sz="4" w:space="0"/>
              <w:right w:val="single" w:color="auto" w:sz="4" w:space="0"/>
            </w:tcBorders>
          </w:tcPr>
          <w:p w14:paraId="64829794">
            <w:pPr>
              <w:pStyle w:val="14"/>
              <w:spacing w:before="0" w:beforeLines="0" w:line="360" w:lineRule="auto"/>
              <w:ind w:left="0" w:right="0" w:firstLine="0" w:firstLineChars="0"/>
              <w:rPr>
                <w:rFonts w:hint="eastAsia" w:ascii="仿宋" w:hAnsi="仿宋" w:eastAsia="仿宋" w:cs="仿宋"/>
                <w:sz w:val="24"/>
                <w:szCs w:val="24"/>
              </w:rPr>
            </w:pPr>
            <w:r>
              <w:rPr>
                <w:rFonts w:hint="eastAsia" w:ascii="仿宋" w:hAnsi="仿宋" w:eastAsia="仿宋" w:cs="仿宋"/>
                <w:sz w:val="24"/>
                <w:szCs w:val="24"/>
              </w:rPr>
              <w:t>负责人事、财务、机要、档案、会务、后勤等日常运转、联络协调等综合性工作；</w:t>
            </w:r>
          </w:p>
          <w:p w14:paraId="2388C2AF">
            <w:pPr>
              <w:pStyle w:val="14"/>
              <w:spacing w:before="0" w:beforeLines="0" w:line="360" w:lineRule="auto"/>
              <w:ind w:left="0" w:firstLine="0" w:firstLineChars="0"/>
              <w:rPr>
                <w:rFonts w:hint="eastAsia" w:ascii="仿宋" w:hAnsi="仿宋" w:eastAsia="仿宋" w:cs="仿宋"/>
                <w:sz w:val="24"/>
                <w:szCs w:val="24"/>
              </w:rPr>
            </w:pPr>
            <w:r>
              <w:rPr>
                <w:rFonts w:hint="eastAsia" w:ascii="仿宋" w:hAnsi="仿宋" w:eastAsia="仿宋" w:cs="仿宋"/>
                <w:sz w:val="24"/>
                <w:szCs w:val="24"/>
              </w:rPr>
              <w:t>完成主管部门交办的其他事项。</w:t>
            </w:r>
          </w:p>
        </w:tc>
      </w:tr>
      <w:tr w14:paraId="1C10CA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6" w:hRule="atLeast"/>
        </w:trPr>
        <w:tc>
          <w:tcPr>
            <w:tcW w:w="1951" w:type="dxa"/>
            <w:tcBorders>
              <w:top w:val="single" w:color="auto" w:sz="4" w:space="0"/>
              <w:left w:val="single" w:color="auto" w:sz="4" w:space="0"/>
              <w:bottom w:val="single" w:color="auto" w:sz="4" w:space="0"/>
              <w:right w:val="single" w:color="auto" w:sz="4" w:space="0"/>
            </w:tcBorders>
            <w:vAlign w:val="top"/>
          </w:tcPr>
          <w:p w14:paraId="4652C3E7">
            <w:pPr>
              <w:pStyle w:val="14"/>
              <w:spacing w:beforeLines="0" w:line="360" w:lineRule="auto"/>
              <w:ind w:firstLine="0" w:firstLineChars="0"/>
              <w:rPr>
                <w:rFonts w:hint="eastAsia" w:ascii="仿宋" w:hAnsi="仿宋" w:eastAsia="仿宋" w:cs="仿宋"/>
                <w:sz w:val="24"/>
                <w:szCs w:val="24"/>
              </w:rPr>
            </w:pPr>
          </w:p>
          <w:p w14:paraId="4DAD6810">
            <w:pPr>
              <w:pStyle w:val="14"/>
              <w:spacing w:beforeLines="0" w:line="360" w:lineRule="auto"/>
              <w:ind w:firstLine="0" w:firstLineChars="0"/>
              <w:rPr>
                <w:rFonts w:hint="eastAsia" w:ascii="仿宋" w:hAnsi="仿宋" w:eastAsia="仿宋" w:cs="仿宋"/>
                <w:sz w:val="24"/>
                <w:szCs w:val="24"/>
              </w:rPr>
            </w:pPr>
          </w:p>
          <w:p w14:paraId="64254818">
            <w:pPr>
              <w:pStyle w:val="14"/>
              <w:spacing w:beforeLines="0" w:line="360" w:lineRule="auto"/>
              <w:ind w:firstLine="0" w:firstLineChars="0"/>
              <w:rPr>
                <w:rFonts w:hint="eastAsia" w:ascii="仿宋" w:hAnsi="仿宋" w:eastAsia="仿宋" w:cs="仿宋"/>
                <w:sz w:val="24"/>
                <w:szCs w:val="24"/>
              </w:rPr>
            </w:pPr>
          </w:p>
          <w:p w14:paraId="16BA76F9">
            <w:pPr>
              <w:pStyle w:val="14"/>
              <w:spacing w:before="0" w:beforeLines="0" w:line="360" w:lineRule="auto"/>
              <w:ind w:left="0" w:leftChars="0" w:right="0" w:rightChars="0" w:firstLine="0" w:firstLineChars="0"/>
              <w:rPr>
                <w:rFonts w:hint="eastAsia" w:ascii="仿宋" w:hAnsi="仿宋" w:eastAsia="仿宋" w:cs="仿宋"/>
                <w:sz w:val="24"/>
                <w:szCs w:val="24"/>
              </w:rPr>
            </w:pPr>
            <w:r>
              <w:rPr>
                <w:rFonts w:hint="eastAsia" w:ascii="仿宋" w:hAnsi="仿宋" w:eastAsia="仿宋" w:cs="仿宋"/>
                <w:sz w:val="24"/>
                <w:szCs w:val="24"/>
              </w:rPr>
              <w:t>宣传推广科</w:t>
            </w:r>
          </w:p>
        </w:tc>
        <w:tc>
          <w:tcPr>
            <w:tcW w:w="7229" w:type="dxa"/>
            <w:tcBorders>
              <w:top w:val="single" w:color="auto" w:sz="4" w:space="0"/>
              <w:left w:val="single" w:color="auto" w:sz="4" w:space="0"/>
              <w:bottom w:val="single" w:color="auto" w:sz="4" w:space="0"/>
              <w:right w:val="single" w:color="auto" w:sz="4" w:space="0"/>
            </w:tcBorders>
            <w:vAlign w:val="top"/>
          </w:tcPr>
          <w:p w14:paraId="0A8EB113">
            <w:pPr>
              <w:pStyle w:val="14"/>
              <w:spacing w:before="0" w:beforeLines="0" w:line="360" w:lineRule="auto"/>
              <w:ind w:left="0" w:right="0" w:firstLine="0" w:firstLineChars="0"/>
              <w:rPr>
                <w:rFonts w:hint="eastAsia" w:ascii="仿宋" w:hAnsi="仿宋" w:eastAsia="仿宋" w:cs="仿宋"/>
                <w:sz w:val="24"/>
                <w:szCs w:val="24"/>
              </w:rPr>
            </w:pPr>
            <w:r>
              <w:rPr>
                <w:rFonts w:hint="eastAsia" w:ascii="仿宋" w:hAnsi="仿宋" w:eastAsia="仿宋" w:cs="仿宋"/>
                <w:sz w:val="24"/>
                <w:szCs w:val="24"/>
              </w:rPr>
              <w:t>负责全平台旅游推广活动策划及执行，专题（新业态）旅游产品研发及推广；</w:t>
            </w:r>
          </w:p>
          <w:p w14:paraId="779BA729">
            <w:pPr>
              <w:pStyle w:val="14"/>
              <w:spacing w:before="0" w:beforeLines="0" w:line="360" w:lineRule="auto"/>
              <w:ind w:left="0" w:right="0" w:firstLine="0" w:firstLineChars="0"/>
              <w:rPr>
                <w:rFonts w:hint="eastAsia" w:ascii="仿宋" w:hAnsi="仿宋" w:eastAsia="仿宋" w:cs="仿宋"/>
                <w:sz w:val="24"/>
                <w:szCs w:val="24"/>
              </w:rPr>
            </w:pPr>
            <w:r>
              <w:rPr>
                <w:rFonts w:hint="eastAsia" w:ascii="仿宋" w:hAnsi="仿宋" w:eastAsia="仿宋" w:cs="仿宋"/>
                <w:sz w:val="24"/>
                <w:szCs w:val="24"/>
              </w:rPr>
              <w:t>负责商务会奖旅游产品调研、策划及推广，商务、会展、奖励等专题旅游信息统计、分析及发布工作；</w:t>
            </w:r>
          </w:p>
          <w:p w14:paraId="59F15E0F">
            <w:pPr>
              <w:pStyle w:val="14"/>
              <w:spacing w:before="0" w:beforeLines="0" w:line="360" w:lineRule="auto"/>
              <w:ind w:left="0" w:right="0" w:firstLine="0" w:firstLineChars="0"/>
              <w:rPr>
                <w:rFonts w:hint="eastAsia" w:ascii="仿宋" w:hAnsi="仿宋" w:eastAsia="仿宋" w:cs="仿宋"/>
                <w:sz w:val="24"/>
                <w:szCs w:val="24"/>
              </w:rPr>
            </w:pPr>
            <w:r>
              <w:rPr>
                <w:rFonts w:hint="eastAsia" w:ascii="仿宋" w:hAnsi="仿宋" w:eastAsia="仿宋" w:cs="仿宋"/>
                <w:sz w:val="24"/>
                <w:szCs w:val="24"/>
              </w:rPr>
              <w:t>负责节庆活动策划、指导及执行工作，旅游宣传品研发、设计和制作，旅游形象推广功能平台建设、运维及宣传工作；</w:t>
            </w:r>
          </w:p>
          <w:p w14:paraId="5E7EDF77">
            <w:pPr>
              <w:pStyle w:val="14"/>
              <w:spacing w:before="0" w:beforeLines="0" w:line="360" w:lineRule="auto"/>
              <w:ind w:left="0" w:leftChars="0" w:right="0" w:rightChars="0" w:firstLine="0" w:firstLineChars="0"/>
              <w:rPr>
                <w:rFonts w:hint="eastAsia" w:ascii="仿宋" w:hAnsi="仿宋" w:eastAsia="仿宋" w:cs="仿宋"/>
                <w:sz w:val="24"/>
                <w:szCs w:val="24"/>
              </w:rPr>
            </w:pPr>
            <w:r>
              <w:rPr>
                <w:rFonts w:hint="eastAsia" w:ascii="仿宋" w:hAnsi="仿宋" w:eastAsia="仿宋" w:cs="仿宋"/>
                <w:sz w:val="24"/>
                <w:szCs w:val="24"/>
              </w:rPr>
              <w:t>完成主管部门交办的其他事项。</w:t>
            </w:r>
          </w:p>
        </w:tc>
      </w:tr>
      <w:tr w14:paraId="2F1F08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6" w:hRule="atLeast"/>
        </w:trPr>
        <w:tc>
          <w:tcPr>
            <w:tcW w:w="1951" w:type="dxa"/>
            <w:tcBorders>
              <w:top w:val="single" w:color="auto" w:sz="4" w:space="0"/>
              <w:left w:val="single" w:color="auto" w:sz="4" w:space="0"/>
              <w:bottom w:val="single" w:color="auto" w:sz="4" w:space="0"/>
              <w:right w:val="single" w:color="auto" w:sz="4" w:space="0"/>
            </w:tcBorders>
            <w:vAlign w:val="top"/>
          </w:tcPr>
          <w:p w14:paraId="5E33D8AF">
            <w:pPr>
              <w:pStyle w:val="14"/>
              <w:spacing w:beforeLines="0" w:line="360" w:lineRule="auto"/>
              <w:ind w:firstLine="0" w:firstLineChars="0"/>
              <w:rPr>
                <w:rFonts w:hint="eastAsia" w:ascii="仿宋" w:hAnsi="仿宋" w:eastAsia="仿宋" w:cs="仿宋"/>
                <w:sz w:val="24"/>
                <w:szCs w:val="24"/>
              </w:rPr>
            </w:pPr>
          </w:p>
          <w:p w14:paraId="21A1A18C">
            <w:pPr>
              <w:pStyle w:val="14"/>
              <w:spacing w:beforeLines="0" w:line="360" w:lineRule="auto"/>
              <w:ind w:firstLine="0" w:firstLineChars="0"/>
              <w:rPr>
                <w:rFonts w:hint="eastAsia" w:ascii="仿宋" w:hAnsi="仿宋" w:eastAsia="仿宋" w:cs="仿宋"/>
                <w:sz w:val="24"/>
                <w:szCs w:val="24"/>
              </w:rPr>
            </w:pPr>
          </w:p>
          <w:p w14:paraId="58E2DB73">
            <w:pPr>
              <w:pStyle w:val="14"/>
              <w:spacing w:beforeLines="0" w:line="360" w:lineRule="auto"/>
              <w:ind w:firstLine="0" w:firstLineChars="0"/>
              <w:rPr>
                <w:rFonts w:hint="eastAsia" w:ascii="仿宋" w:hAnsi="仿宋" w:eastAsia="仿宋" w:cs="仿宋"/>
                <w:sz w:val="24"/>
                <w:szCs w:val="24"/>
              </w:rPr>
            </w:pPr>
          </w:p>
          <w:p w14:paraId="71CA50A2">
            <w:pPr>
              <w:pStyle w:val="14"/>
              <w:spacing w:beforeLines="0" w:line="360" w:lineRule="auto"/>
              <w:ind w:firstLine="0" w:firstLineChars="0"/>
              <w:rPr>
                <w:rFonts w:hint="eastAsia" w:ascii="仿宋" w:hAnsi="仿宋" w:eastAsia="仿宋" w:cs="仿宋"/>
                <w:sz w:val="24"/>
                <w:szCs w:val="24"/>
              </w:rPr>
            </w:pPr>
          </w:p>
          <w:p w14:paraId="6F51428A">
            <w:pPr>
              <w:pStyle w:val="14"/>
              <w:spacing w:before="0" w:beforeLines="0" w:line="360" w:lineRule="auto"/>
              <w:ind w:left="0" w:leftChars="0" w:right="0" w:rightChars="0" w:firstLine="0" w:firstLineChars="0"/>
              <w:rPr>
                <w:rFonts w:hint="eastAsia" w:ascii="仿宋" w:hAnsi="仿宋" w:eastAsia="仿宋" w:cs="仿宋"/>
                <w:sz w:val="24"/>
                <w:szCs w:val="24"/>
              </w:rPr>
            </w:pPr>
            <w:r>
              <w:rPr>
                <w:rFonts w:hint="eastAsia" w:ascii="仿宋" w:hAnsi="仿宋" w:eastAsia="仿宋" w:cs="仿宋"/>
                <w:sz w:val="24"/>
                <w:szCs w:val="24"/>
              </w:rPr>
              <w:t>市场促进科</w:t>
            </w:r>
          </w:p>
        </w:tc>
        <w:tc>
          <w:tcPr>
            <w:tcW w:w="7229" w:type="dxa"/>
            <w:tcBorders>
              <w:top w:val="single" w:color="auto" w:sz="4" w:space="0"/>
              <w:left w:val="single" w:color="auto" w:sz="4" w:space="0"/>
              <w:bottom w:val="single" w:color="auto" w:sz="4" w:space="0"/>
              <w:right w:val="single" w:color="auto" w:sz="4" w:space="0"/>
            </w:tcBorders>
            <w:vAlign w:val="top"/>
          </w:tcPr>
          <w:p w14:paraId="596EBF78">
            <w:pPr>
              <w:pStyle w:val="14"/>
              <w:spacing w:before="0" w:beforeLines="0" w:line="360" w:lineRule="auto"/>
              <w:ind w:left="0" w:right="0" w:firstLine="0" w:firstLineChars="0"/>
              <w:rPr>
                <w:rFonts w:hint="eastAsia" w:ascii="仿宋" w:hAnsi="仿宋" w:eastAsia="仿宋" w:cs="仿宋"/>
                <w:sz w:val="24"/>
                <w:szCs w:val="24"/>
              </w:rPr>
            </w:pPr>
            <w:r>
              <w:rPr>
                <w:rFonts w:hint="eastAsia" w:ascii="仿宋" w:hAnsi="仿宋" w:eastAsia="仿宋" w:cs="仿宋"/>
                <w:sz w:val="24"/>
                <w:szCs w:val="24"/>
              </w:rPr>
              <w:t>负责全市旅游形象策划及品牌设计，全市旅游推广规划编制，旅游市场细分、调研、分析、报告发布及趋势引导工作，旅游新业态研究与开发；</w:t>
            </w:r>
          </w:p>
          <w:p w14:paraId="29DBFE26">
            <w:pPr>
              <w:pStyle w:val="14"/>
              <w:spacing w:before="0" w:beforeLines="0" w:line="360" w:lineRule="auto"/>
              <w:ind w:left="0" w:right="0" w:firstLine="0" w:firstLineChars="0"/>
              <w:rPr>
                <w:rFonts w:hint="eastAsia" w:ascii="仿宋" w:hAnsi="仿宋" w:eastAsia="仿宋" w:cs="仿宋"/>
                <w:sz w:val="24"/>
                <w:szCs w:val="24"/>
              </w:rPr>
            </w:pPr>
            <w:r>
              <w:rPr>
                <w:rFonts w:hint="eastAsia" w:ascii="仿宋" w:hAnsi="仿宋" w:eastAsia="仿宋" w:cs="仿宋"/>
                <w:sz w:val="24"/>
                <w:szCs w:val="24"/>
              </w:rPr>
              <w:t>负责旅游相关产业部门、特色潜力行业等协作及联络工作；</w:t>
            </w:r>
          </w:p>
          <w:p w14:paraId="7D96A693">
            <w:pPr>
              <w:pStyle w:val="14"/>
              <w:spacing w:before="0" w:beforeLines="0" w:line="360" w:lineRule="auto"/>
              <w:ind w:left="0" w:right="0" w:firstLine="0" w:firstLineChars="0"/>
              <w:rPr>
                <w:rFonts w:hint="eastAsia" w:ascii="仿宋" w:hAnsi="仿宋" w:eastAsia="仿宋" w:cs="仿宋"/>
                <w:sz w:val="24"/>
                <w:szCs w:val="24"/>
              </w:rPr>
            </w:pPr>
            <w:r>
              <w:rPr>
                <w:rFonts w:hint="eastAsia" w:ascii="仿宋" w:hAnsi="仿宋" w:eastAsia="仿宋" w:cs="仿宋"/>
                <w:sz w:val="24"/>
                <w:szCs w:val="24"/>
              </w:rPr>
              <w:t>负责旅游推广活动相关标准、效果评估、绩效分析、报告发布等工作；</w:t>
            </w:r>
          </w:p>
          <w:p w14:paraId="26C6F429">
            <w:pPr>
              <w:pStyle w:val="14"/>
              <w:spacing w:before="0" w:beforeLines="0" w:line="360" w:lineRule="auto"/>
              <w:ind w:left="0" w:right="0" w:firstLine="0" w:firstLineChars="0"/>
              <w:rPr>
                <w:rFonts w:hint="eastAsia" w:ascii="仿宋" w:hAnsi="仿宋" w:eastAsia="仿宋" w:cs="仿宋"/>
                <w:sz w:val="24"/>
                <w:szCs w:val="24"/>
              </w:rPr>
            </w:pPr>
            <w:r>
              <w:rPr>
                <w:rFonts w:hint="eastAsia" w:ascii="仿宋" w:hAnsi="仿宋" w:eastAsia="仿宋" w:cs="仿宋"/>
                <w:sz w:val="24"/>
                <w:szCs w:val="24"/>
              </w:rPr>
              <w:t>承担全市旅游行业、旅游企业市场推广方面的专业咨询；</w:t>
            </w:r>
          </w:p>
          <w:p w14:paraId="792764B0">
            <w:pPr>
              <w:pStyle w:val="14"/>
              <w:spacing w:before="0" w:beforeLines="0" w:line="360" w:lineRule="auto"/>
              <w:ind w:left="0" w:leftChars="0" w:right="0" w:rightChars="0" w:firstLine="0" w:firstLineChars="0"/>
              <w:rPr>
                <w:rFonts w:hint="eastAsia" w:ascii="仿宋" w:hAnsi="仿宋" w:eastAsia="仿宋" w:cs="仿宋"/>
                <w:sz w:val="24"/>
                <w:szCs w:val="24"/>
              </w:rPr>
            </w:pPr>
            <w:r>
              <w:rPr>
                <w:rFonts w:hint="eastAsia" w:ascii="仿宋" w:hAnsi="仿宋" w:eastAsia="仿宋" w:cs="仿宋"/>
                <w:sz w:val="24"/>
                <w:szCs w:val="24"/>
              </w:rPr>
              <w:t>完成主管部门交办的其他事项。</w:t>
            </w:r>
          </w:p>
        </w:tc>
      </w:tr>
    </w:tbl>
    <w:p w14:paraId="7D4C04C8">
      <w:pPr>
        <w:keepNext w:val="0"/>
        <w:keepLines w:val="0"/>
        <w:pageBreakBefore w:val="0"/>
        <w:widowControl/>
        <w:kinsoku/>
        <w:wordWrap/>
        <w:overflowPunct/>
        <w:topLinePunct w:val="0"/>
        <w:autoSpaceDE w:val="0"/>
        <w:autoSpaceDN w:val="0"/>
        <w:bidi w:val="0"/>
        <w:adjustRightInd w:val="0"/>
        <w:snapToGrid w:val="0"/>
        <w:spacing w:beforeLines="0" w:line="360" w:lineRule="auto"/>
        <w:ind w:left="0" w:firstLine="600" w:firstLineChars="200"/>
        <w:jc w:val="both"/>
        <w:textAlignment w:val="baseline"/>
        <w:outlineLvl w:val="2"/>
        <w:rPr>
          <w:rFonts w:hint="eastAsia"/>
          <w:sz w:val="30"/>
          <w:szCs w:val="30"/>
        </w:rPr>
      </w:pPr>
      <w:r>
        <w:rPr>
          <w:rFonts w:hint="eastAsia" w:ascii="仿宋" w:hAnsi="仿宋" w:eastAsia="仿宋" w:cs="仿宋"/>
          <w:snapToGrid w:val="0"/>
          <w:color w:val="000000"/>
          <w:kern w:val="0"/>
          <w:sz w:val="30"/>
          <w:szCs w:val="30"/>
          <w:lang w:val="en-US" w:eastAsia="zh-CN"/>
        </w:rPr>
        <w:t>4.单位人员情况</w:t>
      </w:r>
    </w:p>
    <w:p w14:paraId="49A4C747">
      <w:pPr>
        <w:keepNext w:val="0"/>
        <w:keepLines w:val="0"/>
        <w:pageBreakBefore w:val="0"/>
        <w:widowControl/>
        <w:kinsoku/>
        <w:wordWrap/>
        <w:overflowPunct/>
        <w:topLinePunct w:val="0"/>
        <w:autoSpaceDE w:val="0"/>
        <w:autoSpaceDN w:val="0"/>
        <w:bidi w:val="0"/>
        <w:adjustRightInd w:val="0"/>
        <w:snapToGrid w:val="0"/>
        <w:spacing w:before="0" w:beforeLines="0" w:after="0" w:line="360" w:lineRule="auto"/>
        <w:ind w:left="0" w:right="0" w:firstLine="600" w:firstLineChars="200"/>
        <w:jc w:val="both"/>
        <w:textAlignment w:val="baseline"/>
        <w:outlineLvl w:val="9"/>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2023年度本单位编制核定数10人，实有在编人数8人。</w:t>
      </w:r>
    </w:p>
    <w:p w14:paraId="0EAF31B2">
      <w:pPr>
        <w:keepNext w:val="0"/>
        <w:keepLines w:val="0"/>
        <w:pageBreakBefore w:val="0"/>
        <w:widowControl/>
        <w:kinsoku/>
        <w:wordWrap/>
        <w:overflowPunct/>
        <w:topLinePunct w:val="0"/>
        <w:autoSpaceDE w:val="0"/>
        <w:autoSpaceDN w:val="0"/>
        <w:bidi w:val="0"/>
        <w:adjustRightInd w:val="0"/>
        <w:snapToGrid w:val="0"/>
        <w:spacing w:before="0" w:beforeLines="0" w:after="0" w:line="360" w:lineRule="auto"/>
        <w:ind w:left="0" w:right="0" w:firstLine="600" w:firstLineChars="200"/>
        <w:jc w:val="both"/>
        <w:textAlignment w:val="baseline"/>
        <w:outlineLvl w:val="2"/>
        <w:rPr>
          <w:rFonts w:hint="default"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5.单位资产情况</w:t>
      </w:r>
    </w:p>
    <w:p w14:paraId="38F76761">
      <w:pPr>
        <w:keepNext w:val="0"/>
        <w:keepLines w:val="0"/>
        <w:pageBreakBefore w:val="0"/>
        <w:widowControl/>
        <w:kinsoku/>
        <w:wordWrap/>
        <w:overflowPunct/>
        <w:topLinePunct w:val="0"/>
        <w:autoSpaceDE w:val="0"/>
        <w:autoSpaceDN w:val="0"/>
        <w:bidi w:val="0"/>
        <w:adjustRightInd w:val="0"/>
        <w:snapToGrid w:val="0"/>
        <w:spacing w:beforeLines="0" w:line="360" w:lineRule="auto"/>
        <w:ind w:left="0" w:firstLine="600" w:firstLineChars="200"/>
        <w:jc w:val="both"/>
        <w:textAlignment w:val="baseline"/>
        <w:outlineLvl w:val="9"/>
        <w:rPr>
          <w:rFonts w:hint="default"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截至2023年12月31日，本单位资产总计13.67万元，其中：流动资产9.95万元，非流动资产3.72万元。固定资产原值11.28万元，固定资产净值3.72万元。</w:t>
      </w:r>
    </w:p>
    <w:p w14:paraId="4530D4B3">
      <w:pPr>
        <w:keepNext w:val="0"/>
        <w:keepLines w:val="0"/>
        <w:pageBreakBefore w:val="0"/>
        <w:widowControl/>
        <w:kinsoku/>
        <w:wordWrap/>
        <w:overflowPunct/>
        <w:topLinePunct w:val="0"/>
        <w:autoSpaceDE w:val="0"/>
        <w:autoSpaceDN w:val="0"/>
        <w:bidi w:val="0"/>
        <w:adjustRightInd w:val="0"/>
        <w:snapToGrid w:val="0"/>
        <w:spacing w:beforeLines="0" w:line="360" w:lineRule="auto"/>
        <w:ind w:left="0" w:firstLine="600" w:firstLineChars="200"/>
        <w:jc w:val="both"/>
        <w:textAlignment w:val="baseline"/>
        <w:outlineLvl w:val="9"/>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2023年度本单位公务用车核定数0辆，实有公务用车0辆。单价50万元（含）以上的通用设备0台（套），单价100万元（含）以上的专用设备0台（套）。</w:t>
      </w:r>
    </w:p>
    <w:p w14:paraId="1703B4A8">
      <w:pPr>
        <w:keepNext w:val="0"/>
        <w:keepLines w:val="0"/>
        <w:pageBreakBefore w:val="0"/>
        <w:widowControl/>
        <w:kinsoku/>
        <w:wordWrap/>
        <w:overflowPunct/>
        <w:topLinePunct w:val="0"/>
        <w:autoSpaceDE w:val="0"/>
        <w:autoSpaceDN w:val="0"/>
        <w:bidi w:val="0"/>
        <w:adjustRightInd w:val="0"/>
        <w:snapToGrid w:val="0"/>
        <w:spacing w:beforeLines="0" w:line="360" w:lineRule="auto"/>
        <w:ind w:left="0" w:right="330" w:rightChars="150" w:firstLine="600" w:firstLineChars="200"/>
        <w:jc w:val="both"/>
        <w:textAlignment w:val="baseline"/>
        <w:outlineLvl w:val="2"/>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6.单位项目情况</w:t>
      </w:r>
    </w:p>
    <w:p w14:paraId="6E28C233">
      <w:pPr>
        <w:keepNext w:val="0"/>
        <w:keepLines w:val="0"/>
        <w:pageBreakBefore w:val="0"/>
        <w:widowControl/>
        <w:kinsoku/>
        <w:wordWrap/>
        <w:overflowPunct/>
        <w:topLinePunct w:val="0"/>
        <w:autoSpaceDE w:val="0"/>
        <w:autoSpaceDN w:val="0"/>
        <w:bidi w:val="0"/>
        <w:adjustRightInd w:val="0"/>
        <w:snapToGrid w:val="0"/>
        <w:spacing w:before="0" w:beforeLines="0" w:after="0" w:line="360" w:lineRule="auto"/>
        <w:ind w:left="0" w:right="0" w:firstLine="600" w:firstLineChars="200"/>
        <w:jc w:val="both"/>
        <w:textAlignment w:val="baseline"/>
        <w:outlineLvl w:val="9"/>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2023年，旅游形象推广中心深入贯彻党的二十大精神，坚持以习近平新时代中国特色社会主义思想为指导，忠诚拥护“两个确立”，坚决做到“两个维护”，坚持以推动高质量发展为主题，加快构建国内大循环为主体、国内国际双循环相互促进的新发展格局，坚持以文塑旅、以旅彰文，推进文化和旅游深度融合发展。</w:t>
      </w:r>
    </w:p>
    <w:p w14:paraId="14E0EA70">
      <w:pPr>
        <w:keepNext w:val="0"/>
        <w:keepLines w:val="0"/>
        <w:pageBreakBefore w:val="0"/>
        <w:widowControl/>
        <w:kinsoku w:val="0"/>
        <w:wordWrap/>
        <w:overflowPunct/>
        <w:topLinePunct w:val="0"/>
        <w:autoSpaceDE w:val="0"/>
        <w:autoSpaceDN w:val="0"/>
        <w:bidi w:val="0"/>
        <w:adjustRightInd w:val="0"/>
        <w:snapToGrid w:val="0"/>
        <w:spacing w:before="0" w:beforeLines="0" w:after="0" w:line="360" w:lineRule="auto"/>
        <w:ind w:left="0" w:right="0" w:firstLine="600" w:firstLineChars="200"/>
        <w:jc w:val="both"/>
        <w:textAlignment w:val="baseline"/>
        <w:outlineLvl w:val="1"/>
        <w:rPr>
          <w:rFonts w:hint="eastAsia" w:ascii="仿宋" w:hAnsi="仿宋" w:eastAsia="仿宋" w:cs="仿宋"/>
          <w:snapToGrid w:val="0"/>
          <w:color w:val="000000"/>
          <w:kern w:val="0"/>
          <w:sz w:val="30"/>
          <w:szCs w:val="30"/>
          <w:lang w:val="en-US" w:eastAsia="zh-CN"/>
        </w:rPr>
      </w:pPr>
      <w:bookmarkStart w:id="33" w:name="（二）单位收支情况"/>
      <w:bookmarkEnd w:id="33"/>
      <w:bookmarkStart w:id="34" w:name="_Toc19347"/>
      <w:bookmarkStart w:id="35" w:name="_Toc1434646646"/>
      <w:bookmarkStart w:id="36" w:name="_Toc1275130552"/>
      <w:bookmarkStart w:id="37" w:name="_Toc895543606"/>
      <w:bookmarkStart w:id="38" w:name="_Toc1518972490"/>
      <w:bookmarkStart w:id="39" w:name="_Toc923505490"/>
      <w:bookmarkStart w:id="40" w:name="_Toc911335083"/>
      <w:bookmarkStart w:id="41" w:name="_Toc227210343"/>
      <w:bookmarkStart w:id="42" w:name="_Toc557150671"/>
      <w:bookmarkStart w:id="43" w:name="_Toc367014466"/>
      <w:bookmarkStart w:id="44" w:name="_Toc1335352806"/>
      <w:r>
        <w:rPr>
          <w:rFonts w:hint="eastAsia" w:ascii="仿宋" w:hAnsi="仿宋" w:eastAsia="仿宋" w:cs="仿宋"/>
          <w:snapToGrid w:val="0"/>
          <w:color w:val="000000"/>
          <w:kern w:val="0"/>
          <w:sz w:val="30"/>
          <w:szCs w:val="30"/>
          <w:lang w:val="en-US" w:eastAsia="zh-CN"/>
        </w:rPr>
        <w:t>（二）单位收支情况</w:t>
      </w:r>
      <w:bookmarkEnd w:id="34"/>
      <w:bookmarkEnd w:id="35"/>
      <w:bookmarkEnd w:id="36"/>
      <w:bookmarkEnd w:id="37"/>
      <w:bookmarkEnd w:id="38"/>
      <w:bookmarkEnd w:id="39"/>
      <w:bookmarkEnd w:id="40"/>
      <w:bookmarkEnd w:id="41"/>
      <w:bookmarkEnd w:id="42"/>
      <w:bookmarkEnd w:id="43"/>
      <w:bookmarkEnd w:id="44"/>
    </w:p>
    <w:p w14:paraId="79B9D331">
      <w:pPr>
        <w:keepNext w:val="0"/>
        <w:keepLines w:val="0"/>
        <w:pageBreakBefore w:val="0"/>
        <w:widowControl/>
        <w:kinsoku w:val="0"/>
        <w:wordWrap/>
        <w:overflowPunct/>
        <w:topLinePunct w:val="0"/>
        <w:autoSpaceDE w:val="0"/>
        <w:autoSpaceDN w:val="0"/>
        <w:bidi w:val="0"/>
        <w:adjustRightInd w:val="0"/>
        <w:snapToGrid w:val="0"/>
        <w:spacing w:beforeLines="0" w:line="360" w:lineRule="auto"/>
        <w:ind w:left="0" w:firstLine="600" w:firstLineChars="200"/>
        <w:jc w:val="both"/>
        <w:textAlignment w:val="baseline"/>
        <w:outlineLvl w:val="2"/>
        <w:rPr>
          <w:rFonts w:hint="default"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1.单位预算收支情况</w:t>
      </w:r>
    </w:p>
    <w:p w14:paraId="31E374BC">
      <w:pPr>
        <w:keepNext w:val="0"/>
        <w:keepLines w:val="0"/>
        <w:pageBreakBefore w:val="0"/>
        <w:widowControl/>
        <w:kinsoku w:val="0"/>
        <w:wordWrap/>
        <w:overflowPunct/>
        <w:topLinePunct w:val="0"/>
        <w:autoSpaceDE w:val="0"/>
        <w:autoSpaceDN w:val="0"/>
        <w:bidi w:val="0"/>
        <w:adjustRightInd w:val="0"/>
        <w:snapToGrid w:val="0"/>
        <w:spacing w:before="0" w:beforeLines="0" w:after="0" w:line="360" w:lineRule="auto"/>
        <w:ind w:left="0" w:right="0" w:firstLine="600" w:firstLineChars="200"/>
        <w:jc w:val="both"/>
        <w:textAlignment w:val="baseline"/>
        <w:outlineLvl w:val="9"/>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2023年度，南京市旅游形象推广中心预算收入235.80万元，其中：财政拨款收入235.80万元（为一般公共预算收入）。</w:t>
      </w:r>
    </w:p>
    <w:p w14:paraId="6355297D">
      <w:pPr>
        <w:keepNext w:val="0"/>
        <w:keepLines w:val="0"/>
        <w:pageBreakBefore w:val="0"/>
        <w:widowControl/>
        <w:kinsoku w:val="0"/>
        <w:wordWrap/>
        <w:overflowPunct/>
        <w:topLinePunct w:val="0"/>
        <w:autoSpaceDE w:val="0"/>
        <w:autoSpaceDN w:val="0"/>
        <w:bidi w:val="0"/>
        <w:adjustRightInd w:val="0"/>
        <w:snapToGrid w:val="0"/>
        <w:spacing w:before="0" w:beforeLines="0" w:after="0" w:line="360" w:lineRule="auto"/>
        <w:ind w:left="0" w:right="0" w:firstLine="600" w:firstLineChars="200"/>
        <w:jc w:val="both"/>
        <w:textAlignment w:val="baseline"/>
        <w:outlineLvl w:val="9"/>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2023年度，南京市旅游形象推广中心预算支出235.80万元，其中：基本支出235.80万元（人员经费217.36万元、日常公用经费18.44万元）。</w:t>
      </w:r>
    </w:p>
    <w:p w14:paraId="157B7EAE">
      <w:pPr>
        <w:keepNext w:val="0"/>
        <w:keepLines w:val="0"/>
        <w:pageBreakBefore w:val="0"/>
        <w:widowControl/>
        <w:kinsoku w:val="0"/>
        <w:wordWrap/>
        <w:overflowPunct/>
        <w:topLinePunct w:val="0"/>
        <w:autoSpaceDE w:val="0"/>
        <w:autoSpaceDN w:val="0"/>
        <w:bidi w:val="0"/>
        <w:adjustRightInd w:val="0"/>
        <w:snapToGrid w:val="0"/>
        <w:spacing w:before="0" w:beforeLines="0" w:after="0" w:line="360" w:lineRule="auto"/>
        <w:ind w:left="0" w:right="0" w:firstLine="600" w:firstLineChars="200"/>
        <w:jc w:val="both"/>
        <w:textAlignment w:val="baseline"/>
        <w:outlineLvl w:val="2"/>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2.单位预算执行情况</w:t>
      </w:r>
    </w:p>
    <w:p w14:paraId="7EB21FA9">
      <w:pPr>
        <w:keepNext w:val="0"/>
        <w:keepLines w:val="0"/>
        <w:pageBreakBefore w:val="0"/>
        <w:widowControl/>
        <w:kinsoku w:val="0"/>
        <w:wordWrap/>
        <w:overflowPunct/>
        <w:topLinePunct w:val="0"/>
        <w:autoSpaceDE w:val="0"/>
        <w:autoSpaceDN w:val="0"/>
        <w:bidi w:val="0"/>
        <w:adjustRightInd w:val="0"/>
        <w:snapToGrid w:val="0"/>
        <w:spacing w:before="0" w:beforeLines="0" w:after="0" w:line="360" w:lineRule="auto"/>
        <w:ind w:left="0" w:right="0" w:firstLine="600" w:firstLineChars="200"/>
        <w:jc w:val="both"/>
        <w:textAlignment w:val="baseline"/>
        <w:outlineLvl w:val="9"/>
        <w:rPr>
          <w:rFonts w:hint="default"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2023年度，南京市旅游形象推广中心决算收入206.34万元，其中：财政拨款收入206.34万元（为一般公共预算收入）。年初结余2.67万元</w:t>
      </w:r>
    </w:p>
    <w:p w14:paraId="5913F48E">
      <w:pPr>
        <w:keepNext w:val="0"/>
        <w:keepLines w:val="0"/>
        <w:pageBreakBefore w:val="0"/>
        <w:widowControl/>
        <w:kinsoku w:val="0"/>
        <w:wordWrap/>
        <w:overflowPunct/>
        <w:topLinePunct w:val="0"/>
        <w:autoSpaceDE w:val="0"/>
        <w:autoSpaceDN w:val="0"/>
        <w:bidi w:val="0"/>
        <w:adjustRightInd w:val="0"/>
        <w:snapToGrid w:val="0"/>
        <w:spacing w:before="0" w:beforeLines="0" w:after="0" w:line="360" w:lineRule="auto"/>
        <w:ind w:left="0" w:right="0" w:firstLine="600" w:firstLineChars="200"/>
        <w:jc w:val="both"/>
        <w:textAlignment w:val="baseline"/>
        <w:outlineLvl w:val="9"/>
        <w:rPr>
          <w:rFonts w:hint="default"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2023年度，南京市旅游形象推广中心决算支出209.01万元，其中：基本支出207.75万元（人员经费190.63万元、日常公用经费17.12万元）。年末无结余</w:t>
      </w:r>
    </w:p>
    <w:p w14:paraId="0A190C37">
      <w:pPr>
        <w:keepNext w:val="0"/>
        <w:keepLines w:val="0"/>
        <w:pageBreakBefore w:val="0"/>
        <w:widowControl/>
        <w:kinsoku w:val="0"/>
        <w:wordWrap/>
        <w:overflowPunct/>
        <w:topLinePunct w:val="0"/>
        <w:autoSpaceDE w:val="0"/>
        <w:autoSpaceDN w:val="0"/>
        <w:bidi w:val="0"/>
        <w:adjustRightInd w:val="0"/>
        <w:snapToGrid w:val="0"/>
        <w:spacing w:before="0" w:beforeLines="0" w:after="0" w:line="360" w:lineRule="auto"/>
        <w:ind w:left="0" w:right="0" w:firstLine="600" w:firstLineChars="200"/>
        <w:jc w:val="both"/>
        <w:textAlignment w:val="baseline"/>
        <w:outlineLvl w:val="1"/>
        <w:rPr>
          <w:rFonts w:hint="eastAsia" w:ascii="仿宋" w:hAnsi="仿宋" w:eastAsia="仿宋" w:cs="仿宋"/>
          <w:snapToGrid w:val="0"/>
          <w:color w:val="000000"/>
          <w:kern w:val="0"/>
          <w:sz w:val="30"/>
          <w:szCs w:val="30"/>
          <w:lang w:val="en-US" w:eastAsia="zh-CN"/>
        </w:rPr>
      </w:pPr>
      <w:bookmarkStart w:id="45" w:name="（三）单位绩效目标"/>
      <w:bookmarkEnd w:id="45"/>
      <w:bookmarkStart w:id="46" w:name="_Toc159790806"/>
      <w:bookmarkStart w:id="47" w:name="_Toc1002626577"/>
      <w:bookmarkStart w:id="48" w:name="_Toc498310435"/>
      <w:bookmarkStart w:id="49" w:name="_Toc85043894"/>
      <w:bookmarkStart w:id="50" w:name="_Toc1492453561"/>
      <w:bookmarkStart w:id="51" w:name="_Toc955369577"/>
      <w:bookmarkStart w:id="52" w:name="_Toc2070499292"/>
      <w:bookmarkStart w:id="53" w:name="_Toc839095878"/>
      <w:bookmarkStart w:id="54" w:name="_Toc1379874051"/>
      <w:bookmarkStart w:id="55" w:name="_Toc1835987866"/>
      <w:bookmarkStart w:id="56" w:name="_Toc30489"/>
      <w:r>
        <w:rPr>
          <w:rFonts w:hint="eastAsia" w:ascii="仿宋" w:hAnsi="仿宋" w:eastAsia="仿宋" w:cs="仿宋"/>
          <w:snapToGrid w:val="0"/>
          <w:color w:val="000000"/>
          <w:kern w:val="0"/>
          <w:sz w:val="30"/>
          <w:szCs w:val="30"/>
          <w:lang w:val="en-US" w:eastAsia="zh-CN"/>
        </w:rPr>
        <w:t>（三）单位绩效目标</w:t>
      </w:r>
      <w:bookmarkEnd w:id="46"/>
      <w:bookmarkEnd w:id="47"/>
      <w:bookmarkEnd w:id="48"/>
      <w:bookmarkEnd w:id="49"/>
      <w:bookmarkEnd w:id="50"/>
      <w:bookmarkEnd w:id="51"/>
      <w:bookmarkEnd w:id="52"/>
      <w:bookmarkEnd w:id="53"/>
      <w:bookmarkEnd w:id="54"/>
      <w:bookmarkEnd w:id="55"/>
      <w:bookmarkEnd w:id="56"/>
    </w:p>
    <w:p w14:paraId="3885BCCD">
      <w:pPr>
        <w:keepNext w:val="0"/>
        <w:keepLines w:val="0"/>
        <w:pageBreakBefore w:val="0"/>
        <w:widowControl/>
        <w:kinsoku w:val="0"/>
        <w:wordWrap/>
        <w:overflowPunct/>
        <w:topLinePunct w:val="0"/>
        <w:autoSpaceDE w:val="0"/>
        <w:autoSpaceDN w:val="0"/>
        <w:bidi w:val="0"/>
        <w:adjustRightInd w:val="0"/>
        <w:snapToGrid w:val="0"/>
        <w:spacing w:before="0" w:beforeLines="0" w:after="0" w:line="360" w:lineRule="auto"/>
        <w:ind w:left="0" w:right="0" w:firstLine="600" w:firstLineChars="200"/>
        <w:jc w:val="both"/>
        <w:textAlignment w:val="baseline"/>
        <w:outlineLvl w:val="2"/>
        <w:rPr>
          <w:rFonts w:hint="eastAsia" w:ascii="仿宋" w:hAnsi="仿宋" w:eastAsia="仿宋" w:cs="仿宋"/>
          <w:snapToGrid w:val="0"/>
          <w:color w:val="000000"/>
          <w:kern w:val="0"/>
          <w:sz w:val="30"/>
          <w:szCs w:val="30"/>
          <w:lang w:val="en-US" w:eastAsia="zh-CN"/>
        </w:rPr>
      </w:pPr>
      <w:bookmarkStart w:id="57" w:name="_Toc932"/>
      <w:r>
        <w:rPr>
          <w:rFonts w:hint="eastAsia" w:ascii="仿宋" w:hAnsi="仿宋" w:eastAsia="仿宋" w:cs="仿宋"/>
          <w:snapToGrid w:val="0"/>
          <w:color w:val="000000"/>
          <w:kern w:val="0"/>
          <w:sz w:val="30"/>
          <w:szCs w:val="30"/>
          <w:lang w:val="en-US" w:eastAsia="zh-CN"/>
        </w:rPr>
        <w:t>1.单位中长期目标</w:t>
      </w:r>
      <w:bookmarkEnd w:id="57"/>
    </w:p>
    <w:p w14:paraId="29C2C70D">
      <w:pPr>
        <w:keepNext w:val="0"/>
        <w:keepLines w:val="0"/>
        <w:pageBreakBefore w:val="0"/>
        <w:widowControl/>
        <w:kinsoku w:val="0"/>
        <w:wordWrap/>
        <w:overflowPunct/>
        <w:topLinePunct w:val="0"/>
        <w:autoSpaceDE w:val="0"/>
        <w:autoSpaceDN w:val="0"/>
        <w:bidi w:val="0"/>
        <w:adjustRightInd w:val="0"/>
        <w:snapToGrid w:val="0"/>
        <w:spacing w:before="0" w:beforeLines="0" w:after="0" w:line="360" w:lineRule="auto"/>
        <w:ind w:left="0" w:right="0" w:firstLine="600" w:firstLineChars="200"/>
        <w:jc w:val="both"/>
        <w:textAlignment w:val="baseline"/>
        <w:outlineLvl w:val="9"/>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以十四五文旅发展规划为指导，创新工作思路，围绕南京亲子研学旅游品牌“研学南京 成长旅行”和南京商务会奖旅游品牌“约会南京 会见惊喜”，研发设计系列新业态旅游产品，制定并有计划地执行新业态文旅产品及专项品牌的系列推广活动；制定、贯彻、实施新业态旅游相关政策、标准和服务规范，推动南京专项旅游的标准化和品质化的长效发展；通过南京智慧旅游监测平台的大数据、各级统计部门的权威数据、市场执行者的反馈信息、买家及客户的需求和反馈、官方延续累积的信息素材等，积极探索专项旅游市场分析模式，并通过定期分析，为政府提供决策依据，为企业提供市场参考，不断提升和完善专项旅游产品的策划、执行与服务品质，从而促进文旅融合，助推全域旅游。</w:t>
      </w:r>
    </w:p>
    <w:p w14:paraId="1D2F686C">
      <w:pPr>
        <w:keepNext w:val="0"/>
        <w:keepLines w:val="0"/>
        <w:pageBreakBefore w:val="0"/>
        <w:widowControl/>
        <w:kinsoku w:val="0"/>
        <w:wordWrap/>
        <w:overflowPunct/>
        <w:topLinePunct w:val="0"/>
        <w:autoSpaceDE w:val="0"/>
        <w:autoSpaceDN w:val="0"/>
        <w:bidi w:val="0"/>
        <w:adjustRightInd w:val="0"/>
        <w:snapToGrid w:val="0"/>
        <w:spacing w:before="0" w:beforeLines="0" w:after="0" w:line="360" w:lineRule="auto"/>
        <w:ind w:left="0" w:right="0" w:firstLine="600" w:firstLineChars="200"/>
        <w:jc w:val="both"/>
        <w:textAlignment w:val="baseline"/>
        <w:outlineLvl w:val="2"/>
        <w:rPr>
          <w:rFonts w:hint="default"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2.单位年度目标</w:t>
      </w:r>
    </w:p>
    <w:p w14:paraId="4D956EAE">
      <w:pPr>
        <w:keepNext w:val="0"/>
        <w:keepLines w:val="0"/>
        <w:pageBreakBefore w:val="0"/>
        <w:widowControl/>
        <w:kinsoku w:val="0"/>
        <w:wordWrap/>
        <w:overflowPunct/>
        <w:topLinePunct w:val="0"/>
        <w:autoSpaceDE w:val="0"/>
        <w:autoSpaceDN w:val="0"/>
        <w:bidi w:val="0"/>
        <w:adjustRightInd w:val="0"/>
        <w:snapToGrid w:val="0"/>
        <w:spacing w:before="0" w:beforeLines="0" w:after="0" w:line="360" w:lineRule="auto"/>
        <w:ind w:left="0" w:right="0" w:firstLine="600" w:firstLineChars="200"/>
        <w:jc w:val="both"/>
        <w:textAlignment w:val="baseline"/>
        <w:outlineLvl w:val="9"/>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2023年度，根据部门职责与预算安排，本年主要完成绩效目标为：1、推进专项旅游产品的标准化、品质化、多样化。2、增强宣传推广活动的持续性、创新性、精准性。3、实现新业态旅游数据的收集、积累、分析、指导。4、保障行业指导服务的权威、及时、全面、有效。</w:t>
      </w:r>
    </w:p>
    <w:p w14:paraId="18B89A25">
      <w:pPr>
        <w:keepNext w:val="0"/>
        <w:keepLines w:val="0"/>
        <w:pageBreakBefore w:val="0"/>
        <w:widowControl/>
        <w:kinsoku w:val="0"/>
        <w:wordWrap/>
        <w:overflowPunct/>
        <w:topLinePunct w:val="0"/>
        <w:autoSpaceDE w:val="0"/>
        <w:autoSpaceDN w:val="0"/>
        <w:bidi w:val="0"/>
        <w:adjustRightInd w:val="0"/>
        <w:snapToGrid w:val="0"/>
        <w:spacing w:beforeLines="0" w:line="360" w:lineRule="auto"/>
        <w:ind w:firstLine="632" w:firstLineChars="200"/>
        <w:jc w:val="left"/>
        <w:textAlignment w:val="baseline"/>
        <w:outlineLvl w:val="9"/>
        <w:rPr>
          <w:rFonts w:hint="eastAsia" w:ascii="仿宋" w:hAnsi="仿宋" w:eastAsia="仿宋" w:cs="仿宋"/>
          <w:snapToGrid w:val="0"/>
          <w:color w:val="000000"/>
          <w:spacing w:val="8"/>
          <w:kern w:val="0"/>
          <w:sz w:val="30"/>
          <w:szCs w:val="30"/>
          <w:lang w:val="en-US" w:eastAsia="zh-CN"/>
          <w14:textOutline w14:w="5791" w14:cap="flat" w14:cmpd="sng">
            <w14:solidFill>
              <w14:srgbClr w14:val="000000"/>
            </w14:solidFill>
            <w14:prstDash w14:val="solid"/>
            <w14:miter w14:val="0"/>
          </w14:textOutline>
        </w:rPr>
      </w:pPr>
      <w:bookmarkStart w:id="58" w:name="（一）评价对象及范围"/>
      <w:bookmarkEnd w:id="58"/>
      <w:bookmarkStart w:id="59" w:name="二、评价结论"/>
      <w:bookmarkEnd w:id="59"/>
      <w:bookmarkStart w:id="60" w:name="_Toc13901729"/>
      <w:bookmarkStart w:id="61" w:name="_Toc21196"/>
    </w:p>
    <w:p w14:paraId="0DDEEA62">
      <w:pPr>
        <w:keepNext w:val="0"/>
        <w:keepLines w:val="0"/>
        <w:pageBreakBefore w:val="0"/>
        <w:widowControl/>
        <w:kinsoku w:val="0"/>
        <w:wordWrap/>
        <w:overflowPunct/>
        <w:topLinePunct w:val="0"/>
        <w:autoSpaceDE w:val="0"/>
        <w:autoSpaceDN w:val="0"/>
        <w:bidi w:val="0"/>
        <w:adjustRightInd w:val="0"/>
        <w:snapToGrid w:val="0"/>
        <w:spacing w:beforeLines="0" w:line="360" w:lineRule="auto"/>
        <w:ind w:firstLine="632" w:firstLineChars="200"/>
        <w:jc w:val="left"/>
        <w:textAlignment w:val="baseline"/>
        <w:outlineLvl w:val="0"/>
        <w:rPr>
          <w:rFonts w:hint="eastAsia" w:ascii="仿宋" w:hAnsi="仿宋" w:eastAsia="仿宋" w:cs="仿宋"/>
          <w:snapToGrid w:val="0"/>
          <w:color w:val="000000"/>
          <w:spacing w:val="8"/>
          <w:kern w:val="0"/>
          <w:sz w:val="30"/>
          <w:szCs w:val="30"/>
          <w:lang w:val="en-US" w:eastAsia="zh-CN"/>
          <w14:textOutline w14:w="5791" w14:cap="flat" w14:cmpd="sng">
            <w14:solidFill>
              <w14:srgbClr w14:val="000000"/>
            </w14:solidFill>
            <w14:prstDash w14:val="solid"/>
            <w14:miter w14:val="0"/>
          </w14:textOutline>
        </w:rPr>
      </w:pPr>
      <w:bookmarkStart w:id="62" w:name="_Toc1256101203"/>
      <w:bookmarkStart w:id="63" w:name="_Toc1249517692"/>
      <w:bookmarkStart w:id="64" w:name="_Toc16966"/>
      <w:bookmarkStart w:id="65" w:name="_Toc159311697"/>
      <w:bookmarkStart w:id="66" w:name="_Toc1056584656"/>
      <w:bookmarkStart w:id="67" w:name="_Toc255540119"/>
      <w:bookmarkStart w:id="68" w:name="_Toc867271204"/>
      <w:bookmarkStart w:id="69" w:name="_Toc2064741392"/>
      <w:bookmarkStart w:id="70" w:name="_Toc161252020"/>
      <w:bookmarkStart w:id="71" w:name="_Toc1058002767"/>
      <w:bookmarkStart w:id="72" w:name="_Toc1988185277"/>
      <w:r>
        <w:rPr>
          <w:rFonts w:hint="eastAsia" w:ascii="仿宋" w:hAnsi="仿宋" w:eastAsia="仿宋" w:cs="仿宋"/>
          <w:snapToGrid w:val="0"/>
          <w:color w:val="000000"/>
          <w:spacing w:val="8"/>
          <w:kern w:val="0"/>
          <w:sz w:val="30"/>
          <w:szCs w:val="30"/>
          <w:lang w:val="en-US" w:eastAsia="zh-CN"/>
          <w14:textOutline w14:w="5791" w14:cap="flat" w14:cmpd="sng">
            <w14:solidFill>
              <w14:srgbClr w14:val="000000"/>
            </w14:solidFill>
            <w14:prstDash w14:val="solid"/>
            <w14:miter w14:val="0"/>
          </w14:textOutline>
        </w:rPr>
        <w:t>二、评价</w:t>
      </w:r>
      <w:bookmarkEnd w:id="60"/>
      <w:r>
        <w:rPr>
          <w:rFonts w:hint="eastAsia" w:ascii="仿宋" w:hAnsi="仿宋" w:eastAsia="仿宋" w:cs="仿宋"/>
          <w:snapToGrid w:val="0"/>
          <w:color w:val="000000"/>
          <w:spacing w:val="8"/>
          <w:kern w:val="0"/>
          <w:sz w:val="30"/>
          <w:szCs w:val="30"/>
          <w:lang w:val="en-US" w:eastAsia="zh-CN"/>
          <w14:textOutline w14:w="5791" w14:cap="flat" w14:cmpd="sng">
            <w14:solidFill>
              <w14:srgbClr w14:val="000000"/>
            </w14:solidFill>
            <w14:prstDash w14:val="solid"/>
            <w14:miter w14:val="0"/>
          </w14:textOutline>
        </w:rPr>
        <w:t>结论</w:t>
      </w:r>
      <w:bookmarkEnd w:id="61"/>
      <w:bookmarkEnd w:id="62"/>
      <w:bookmarkEnd w:id="63"/>
      <w:bookmarkEnd w:id="64"/>
      <w:bookmarkEnd w:id="65"/>
      <w:bookmarkEnd w:id="66"/>
      <w:bookmarkEnd w:id="67"/>
      <w:bookmarkEnd w:id="68"/>
      <w:bookmarkEnd w:id="69"/>
      <w:bookmarkEnd w:id="70"/>
      <w:bookmarkEnd w:id="71"/>
      <w:bookmarkEnd w:id="72"/>
    </w:p>
    <w:p w14:paraId="3666E764">
      <w:pPr>
        <w:keepNext w:val="0"/>
        <w:keepLines w:val="0"/>
        <w:pageBreakBefore w:val="0"/>
        <w:widowControl/>
        <w:kinsoku w:val="0"/>
        <w:wordWrap/>
        <w:overflowPunct/>
        <w:topLinePunct w:val="0"/>
        <w:autoSpaceDE w:val="0"/>
        <w:autoSpaceDN w:val="0"/>
        <w:bidi w:val="0"/>
        <w:adjustRightInd w:val="0"/>
        <w:snapToGrid w:val="0"/>
        <w:spacing w:before="0" w:beforeLines="0" w:after="0" w:line="360" w:lineRule="auto"/>
        <w:ind w:left="0" w:right="0" w:firstLine="600" w:firstLineChars="200"/>
        <w:jc w:val="both"/>
        <w:textAlignment w:val="baseline"/>
        <w:outlineLvl w:val="1"/>
        <w:rPr>
          <w:rFonts w:hint="eastAsia" w:ascii="仿宋" w:hAnsi="仿宋" w:eastAsia="仿宋" w:cs="仿宋"/>
          <w:snapToGrid w:val="0"/>
          <w:color w:val="000000"/>
          <w:kern w:val="0"/>
          <w:sz w:val="30"/>
          <w:szCs w:val="30"/>
          <w:lang w:val="en-US" w:eastAsia="zh-CN"/>
        </w:rPr>
      </w:pPr>
      <w:bookmarkStart w:id="73" w:name="_Toc920323471"/>
      <w:bookmarkStart w:id="74" w:name="_Toc401265431"/>
      <w:bookmarkStart w:id="75" w:name="_Toc38337626"/>
      <w:bookmarkStart w:id="76" w:name="_Toc2482"/>
      <w:bookmarkStart w:id="77" w:name="_Toc1787067317"/>
      <w:bookmarkStart w:id="78" w:name="_Toc687907809"/>
      <w:bookmarkStart w:id="79" w:name="_Toc1528668811"/>
      <w:bookmarkStart w:id="80" w:name="_Toc476036349"/>
      <w:bookmarkStart w:id="81" w:name="_Toc584403219"/>
      <w:bookmarkStart w:id="82" w:name="_Toc1255613439"/>
      <w:bookmarkStart w:id="83" w:name="_Toc2042969680"/>
      <w:r>
        <w:rPr>
          <w:rFonts w:hint="eastAsia" w:ascii="仿宋" w:hAnsi="仿宋" w:eastAsia="仿宋" w:cs="仿宋"/>
          <w:snapToGrid w:val="0"/>
          <w:color w:val="000000"/>
          <w:kern w:val="0"/>
          <w:sz w:val="30"/>
          <w:szCs w:val="30"/>
          <w:lang w:val="en-US" w:eastAsia="zh-CN"/>
        </w:rPr>
        <w:t>（一）评价对象及范围</w:t>
      </w:r>
      <w:bookmarkEnd w:id="73"/>
      <w:bookmarkEnd w:id="74"/>
      <w:bookmarkEnd w:id="75"/>
      <w:bookmarkEnd w:id="76"/>
      <w:bookmarkEnd w:id="77"/>
      <w:bookmarkEnd w:id="78"/>
      <w:bookmarkEnd w:id="79"/>
      <w:bookmarkEnd w:id="80"/>
      <w:bookmarkEnd w:id="81"/>
      <w:bookmarkEnd w:id="82"/>
      <w:bookmarkEnd w:id="83"/>
    </w:p>
    <w:p w14:paraId="5B91D139">
      <w:pPr>
        <w:keepNext w:val="0"/>
        <w:keepLines w:val="0"/>
        <w:pageBreakBefore w:val="0"/>
        <w:widowControl/>
        <w:kinsoku w:val="0"/>
        <w:wordWrap/>
        <w:overflowPunct/>
        <w:topLinePunct w:val="0"/>
        <w:autoSpaceDE w:val="0"/>
        <w:autoSpaceDN w:val="0"/>
        <w:bidi w:val="0"/>
        <w:adjustRightInd w:val="0"/>
        <w:snapToGrid w:val="0"/>
        <w:spacing w:before="0" w:beforeLines="0" w:after="0" w:line="360" w:lineRule="auto"/>
        <w:ind w:left="0" w:right="0" w:firstLine="600" w:firstLineChars="200"/>
        <w:jc w:val="both"/>
        <w:textAlignment w:val="baseline"/>
        <w:outlineLvl w:val="9"/>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本次整体预算评价的对象为南京市旅游形象推广中心2023年度单位整体预算（包括基本经费支出和项目经费支出）。绩效评价时段为2023年1月1日至12月31日。</w:t>
      </w:r>
    </w:p>
    <w:p w14:paraId="30E39199">
      <w:pPr>
        <w:keepNext w:val="0"/>
        <w:keepLines w:val="0"/>
        <w:pageBreakBefore w:val="0"/>
        <w:widowControl/>
        <w:numPr>
          <w:ilvl w:val="-1"/>
          <w:numId w:val="0"/>
        </w:numPr>
        <w:kinsoku w:val="0"/>
        <w:wordWrap/>
        <w:overflowPunct/>
        <w:topLinePunct w:val="0"/>
        <w:autoSpaceDE w:val="0"/>
        <w:autoSpaceDN w:val="0"/>
        <w:bidi w:val="0"/>
        <w:adjustRightInd w:val="0"/>
        <w:snapToGrid w:val="0"/>
        <w:spacing w:before="0" w:beforeLines="0" w:after="0" w:line="360" w:lineRule="auto"/>
        <w:ind w:left="440" w:leftChars="200" w:right="0" w:firstLine="0" w:firstLineChars="0"/>
        <w:jc w:val="both"/>
        <w:textAlignment w:val="baseline"/>
        <w:outlineLvl w:val="1"/>
        <w:rPr>
          <w:rFonts w:hint="eastAsia" w:ascii="仿宋" w:hAnsi="仿宋" w:eastAsia="仿宋" w:cs="仿宋"/>
          <w:snapToGrid w:val="0"/>
          <w:color w:val="000000"/>
          <w:kern w:val="0"/>
          <w:sz w:val="30"/>
          <w:szCs w:val="30"/>
          <w:lang w:val="en-US" w:eastAsia="zh-CN"/>
        </w:rPr>
      </w:pPr>
      <w:bookmarkStart w:id="84" w:name="（二）评价结论"/>
      <w:bookmarkEnd w:id="84"/>
      <w:bookmarkStart w:id="85" w:name="_Toc1699351403"/>
      <w:bookmarkStart w:id="86" w:name="_Toc1366332568"/>
      <w:bookmarkStart w:id="87" w:name="_Toc534109877"/>
      <w:bookmarkStart w:id="88" w:name="_Toc969447237"/>
      <w:bookmarkStart w:id="89" w:name="_Toc75379877"/>
      <w:bookmarkStart w:id="90" w:name="_Toc1622184002"/>
      <w:bookmarkStart w:id="91" w:name="_Toc16898"/>
      <w:bookmarkStart w:id="92" w:name="_Toc1989837416"/>
      <w:bookmarkStart w:id="93" w:name="_Toc1762074062"/>
      <w:bookmarkStart w:id="94" w:name="_Toc95386082"/>
      <w:bookmarkStart w:id="95" w:name="_Toc1920753851"/>
      <w:r>
        <w:rPr>
          <w:rFonts w:hint="eastAsia" w:ascii="仿宋" w:hAnsi="仿宋" w:eastAsia="仿宋" w:cs="仿宋"/>
          <w:snapToGrid w:val="0"/>
          <w:color w:val="000000"/>
          <w:kern w:val="0"/>
          <w:sz w:val="30"/>
          <w:szCs w:val="30"/>
          <w:lang w:val="en-US" w:eastAsia="zh-CN"/>
        </w:rPr>
        <w:t>（二）评价结论</w:t>
      </w:r>
      <w:bookmarkEnd w:id="85"/>
      <w:bookmarkEnd w:id="86"/>
      <w:bookmarkEnd w:id="87"/>
      <w:bookmarkEnd w:id="88"/>
      <w:bookmarkEnd w:id="89"/>
      <w:bookmarkEnd w:id="90"/>
      <w:bookmarkEnd w:id="91"/>
      <w:bookmarkEnd w:id="92"/>
      <w:bookmarkEnd w:id="93"/>
      <w:bookmarkEnd w:id="94"/>
      <w:bookmarkEnd w:id="95"/>
    </w:p>
    <w:p w14:paraId="285AFB1D">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0" w:beforeLines="0" w:after="0" w:line="360" w:lineRule="auto"/>
        <w:ind w:right="0" w:rightChars="0" w:firstLine="600" w:firstLineChars="200"/>
        <w:jc w:val="both"/>
        <w:textAlignment w:val="baseline"/>
        <w:outlineLvl w:val="9"/>
        <w:rPr>
          <w:rFonts w:hint="eastAsia" w:ascii="仿宋" w:hAnsi="仿宋" w:eastAsia="仿宋" w:cs="仿宋"/>
          <w:bCs/>
          <w:kern w:val="2"/>
          <w:sz w:val="30"/>
          <w:szCs w:val="30"/>
          <w:lang w:val="en-US" w:eastAsia="zh-CN" w:bidi="ar-SA"/>
        </w:rPr>
      </w:pPr>
      <w:bookmarkStart w:id="96" w:name="_Toc4355"/>
      <w:r>
        <w:rPr>
          <w:rFonts w:hint="eastAsia" w:ascii="仿宋" w:hAnsi="仿宋" w:eastAsia="仿宋" w:cs="仿宋"/>
          <w:bCs/>
          <w:kern w:val="2"/>
          <w:sz w:val="30"/>
          <w:szCs w:val="30"/>
          <w:lang w:val="en-US" w:eastAsia="zh-CN" w:bidi="ar-SA"/>
        </w:rPr>
        <w:t>2023年，在市文旅局的支持下，经过市旅游形象推广中心全体人员的共同努力，各项工作圆满完成。一是“塑产品”与“重宣推”并行，讲好“研学南京”品牌故事。二是“走出去”与“请进来”并行，扩大会奖旅游品牌效应。三是“极美南京”，宣传矩阵与视频内容共建。但也存在仍需改进之处，如固定资产管理执行有待完善；单位工作评价机制有待完善等。</w:t>
      </w:r>
      <w:bookmarkEnd w:id="96"/>
    </w:p>
    <w:p w14:paraId="213935D1">
      <w:pPr>
        <w:keepNext w:val="0"/>
        <w:keepLines w:val="0"/>
        <w:pageBreakBefore w:val="0"/>
        <w:widowControl/>
        <w:numPr>
          <w:ilvl w:val="-1"/>
          <w:numId w:val="0"/>
        </w:numPr>
        <w:kinsoku w:val="0"/>
        <w:wordWrap/>
        <w:overflowPunct/>
        <w:topLinePunct w:val="0"/>
        <w:autoSpaceDE w:val="0"/>
        <w:autoSpaceDN w:val="0"/>
        <w:bidi w:val="0"/>
        <w:adjustRightInd w:val="0"/>
        <w:snapToGrid w:val="0"/>
        <w:spacing w:before="0" w:beforeLines="0" w:after="0" w:line="360" w:lineRule="auto"/>
        <w:ind w:left="440" w:leftChars="200" w:right="0" w:firstLine="0" w:firstLineChars="0"/>
        <w:jc w:val="both"/>
        <w:textAlignment w:val="baseline"/>
        <w:outlineLvl w:val="1"/>
        <w:rPr>
          <w:rFonts w:hint="eastAsia" w:ascii="仿宋" w:hAnsi="仿宋" w:eastAsia="仿宋" w:cs="仿宋"/>
          <w:snapToGrid w:val="0"/>
          <w:color w:val="000000"/>
          <w:kern w:val="0"/>
          <w:sz w:val="30"/>
          <w:szCs w:val="30"/>
          <w:lang w:val="en-US" w:eastAsia="zh-CN"/>
        </w:rPr>
      </w:pPr>
      <w:bookmarkStart w:id="97" w:name="（三）评分结果"/>
      <w:bookmarkEnd w:id="97"/>
      <w:bookmarkStart w:id="98" w:name="_Toc1131079512"/>
      <w:bookmarkStart w:id="99" w:name="_Toc4383"/>
      <w:bookmarkStart w:id="100" w:name="_Toc303058279"/>
      <w:bookmarkStart w:id="101" w:name="_Toc434615981"/>
      <w:bookmarkStart w:id="102" w:name="_Toc2041724656"/>
      <w:bookmarkStart w:id="103" w:name="_Toc1741622949"/>
      <w:bookmarkStart w:id="104" w:name="_Toc1614008768"/>
      <w:bookmarkStart w:id="105" w:name="_Toc908833005"/>
      <w:bookmarkStart w:id="106" w:name="_Toc1379267904"/>
      <w:bookmarkStart w:id="107" w:name="_Toc1135792053"/>
      <w:bookmarkStart w:id="108" w:name="_Toc541282470"/>
      <w:r>
        <w:rPr>
          <w:rFonts w:hint="eastAsia" w:ascii="仿宋" w:hAnsi="仿宋" w:eastAsia="仿宋" w:cs="仿宋"/>
          <w:snapToGrid w:val="0"/>
          <w:color w:val="000000"/>
          <w:kern w:val="0"/>
          <w:sz w:val="30"/>
          <w:szCs w:val="30"/>
          <w:lang w:val="en-US" w:eastAsia="zh-CN"/>
        </w:rPr>
        <w:t>（三）评分结果</w:t>
      </w:r>
      <w:bookmarkEnd w:id="98"/>
      <w:bookmarkEnd w:id="99"/>
      <w:bookmarkEnd w:id="100"/>
      <w:bookmarkEnd w:id="101"/>
      <w:bookmarkEnd w:id="102"/>
      <w:bookmarkEnd w:id="103"/>
      <w:bookmarkEnd w:id="104"/>
      <w:bookmarkEnd w:id="105"/>
      <w:bookmarkEnd w:id="106"/>
      <w:bookmarkEnd w:id="107"/>
      <w:bookmarkEnd w:id="108"/>
    </w:p>
    <w:p w14:paraId="3851CAC9">
      <w:pPr>
        <w:keepNext w:val="0"/>
        <w:keepLines w:val="0"/>
        <w:pageBreakBefore w:val="0"/>
        <w:widowControl/>
        <w:kinsoku w:val="0"/>
        <w:wordWrap/>
        <w:overflowPunct/>
        <w:topLinePunct w:val="0"/>
        <w:autoSpaceDE w:val="0"/>
        <w:autoSpaceDN w:val="0"/>
        <w:bidi w:val="0"/>
        <w:adjustRightInd w:val="0"/>
        <w:snapToGrid w:val="0"/>
        <w:spacing w:before="0" w:beforeLines="0" w:after="0" w:line="360" w:lineRule="auto"/>
        <w:ind w:left="0" w:right="0" w:firstLine="600" w:firstLineChars="200"/>
        <w:jc w:val="both"/>
        <w:textAlignment w:val="baseline"/>
        <w:outlineLvl w:val="9"/>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本次绩效评价遵循科学规范、公开公正、绩效相关和问题导向的原则，重点评价部门管理、部门履职以及部门绩效等指标。在此基础上，以相关的数据为基础，综合应用成本效益分析法、因素分析法、比较法和公众评判法等评价方法，结合评价标准和评分规则，2023年度南京市旅游形象推广中心单位整体预算绩效评价综合得分93.35分，等级为“优”，详见单位整体预算绩效评价指标体系得分情况表。</w:t>
      </w:r>
    </w:p>
    <w:p w14:paraId="04DF7781">
      <w:pPr>
        <w:pStyle w:val="2"/>
        <w:spacing w:before="0" w:beforeLines="0" w:line="360" w:lineRule="auto"/>
        <w:ind w:left="0" w:firstLine="640" w:firstLineChars="200"/>
        <w:rPr>
          <w:rFonts w:hint="eastAsia"/>
          <w:lang w:eastAsia="zh-CN"/>
        </w:rPr>
      </w:pPr>
    </w:p>
    <w:p w14:paraId="19F69AF2">
      <w:pPr>
        <w:keepNext w:val="0"/>
        <w:keepLines w:val="0"/>
        <w:pageBreakBefore w:val="0"/>
        <w:widowControl/>
        <w:kinsoku w:val="0"/>
        <w:wordWrap/>
        <w:overflowPunct/>
        <w:topLinePunct w:val="0"/>
        <w:autoSpaceDE w:val="0"/>
        <w:autoSpaceDN w:val="0"/>
        <w:bidi w:val="0"/>
        <w:adjustRightInd w:val="0"/>
        <w:snapToGrid w:val="0"/>
        <w:spacing w:beforeLines="0" w:line="360" w:lineRule="auto"/>
        <w:ind w:left="0" w:firstLine="632" w:firstLineChars="200"/>
        <w:jc w:val="left"/>
        <w:textAlignment w:val="baseline"/>
        <w:outlineLvl w:val="0"/>
        <w:rPr>
          <w:rFonts w:hint="eastAsia" w:ascii="仿宋" w:hAnsi="仿宋" w:eastAsia="仿宋" w:cs="仿宋"/>
          <w:snapToGrid w:val="0"/>
          <w:color w:val="000000"/>
          <w:spacing w:val="8"/>
          <w:kern w:val="0"/>
          <w:sz w:val="30"/>
          <w:szCs w:val="30"/>
          <w:lang w:val="en-US" w:eastAsia="zh-CN"/>
          <w14:textOutline w14:w="5791" w14:cap="flat" w14:cmpd="sng">
            <w14:solidFill>
              <w14:srgbClr w14:val="000000"/>
            </w14:solidFill>
            <w14:prstDash w14:val="solid"/>
            <w14:miter w14:val="0"/>
          </w14:textOutline>
        </w:rPr>
      </w:pPr>
      <w:bookmarkStart w:id="109" w:name="三、部门履职成效"/>
      <w:bookmarkEnd w:id="109"/>
      <w:bookmarkStart w:id="110" w:name="_Toc998909220"/>
      <w:bookmarkStart w:id="111" w:name="_Toc1254795233"/>
      <w:bookmarkStart w:id="112" w:name="_Toc593744598"/>
      <w:bookmarkStart w:id="113" w:name="_Toc625097979"/>
      <w:bookmarkStart w:id="114" w:name="_Toc1816768116"/>
      <w:bookmarkStart w:id="115" w:name="_Toc1417176810"/>
      <w:bookmarkStart w:id="116" w:name="_Toc2719"/>
      <w:bookmarkStart w:id="117" w:name="_Toc274896588"/>
      <w:bookmarkStart w:id="118" w:name="_Toc528114940"/>
      <w:bookmarkStart w:id="119" w:name="_Toc1852617571"/>
      <w:bookmarkStart w:id="120" w:name="_Toc1779418519"/>
      <w:r>
        <w:rPr>
          <w:rFonts w:hint="eastAsia" w:ascii="仿宋" w:hAnsi="仿宋" w:eastAsia="仿宋" w:cs="仿宋"/>
          <w:snapToGrid w:val="0"/>
          <w:color w:val="000000"/>
          <w:spacing w:val="8"/>
          <w:kern w:val="0"/>
          <w:sz w:val="30"/>
          <w:szCs w:val="30"/>
          <w:lang w:val="en-US" w:eastAsia="zh-CN"/>
          <w14:textOutline w14:w="5791" w14:cap="flat" w14:cmpd="sng">
            <w14:solidFill>
              <w14:srgbClr w14:val="000000"/>
            </w14:solidFill>
            <w14:prstDash w14:val="solid"/>
            <w14:miter w14:val="0"/>
          </w14:textOutline>
        </w:rPr>
        <w:t>三、部门履职成效</w:t>
      </w:r>
      <w:bookmarkEnd w:id="110"/>
      <w:bookmarkEnd w:id="111"/>
      <w:bookmarkEnd w:id="112"/>
      <w:bookmarkEnd w:id="113"/>
      <w:bookmarkEnd w:id="114"/>
      <w:bookmarkEnd w:id="115"/>
      <w:bookmarkEnd w:id="116"/>
      <w:bookmarkEnd w:id="117"/>
      <w:bookmarkEnd w:id="118"/>
      <w:bookmarkEnd w:id="119"/>
      <w:bookmarkEnd w:id="120"/>
    </w:p>
    <w:p w14:paraId="06477D01">
      <w:pPr>
        <w:pStyle w:val="2"/>
        <w:keepNext w:val="0"/>
        <w:keepLines w:val="0"/>
        <w:pageBreakBefore w:val="0"/>
        <w:widowControl w:val="0"/>
        <w:kinsoku/>
        <w:wordWrap/>
        <w:overflowPunct/>
        <w:topLinePunct w:val="0"/>
        <w:autoSpaceDE w:val="0"/>
        <w:autoSpaceDN w:val="0"/>
        <w:bidi w:val="0"/>
        <w:adjustRightInd/>
        <w:snapToGrid/>
        <w:spacing w:before="0" w:beforeLines="0" w:line="360" w:lineRule="auto"/>
        <w:ind w:left="0" w:firstLine="574" w:firstLineChars="200"/>
        <w:jc w:val="both"/>
        <w:textAlignment w:val="auto"/>
        <w:rPr>
          <w:rFonts w:hint="eastAsia" w:ascii="仿宋" w:hAnsi="仿宋" w:eastAsia="仿宋" w:cs="仿宋"/>
          <w:spacing w:val="1"/>
          <w:w w:val="95"/>
          <w:sz w:val="30"/>
          <w:szCs w:val="30"/>
          <w:lang w:eastAsia="zh-CN"/>
        </w:rPr>
      </w:pPr>
      <w:r>
        <w:rPr>
          <w:rFonts w:hint="eastAsia" w:ascii="仿宋" w:hAnsi="仿宋" w:eastAsia="仿宋" w:cs="仿宋"/>
          <w:spacing w:val="1"/>
          <w:w w:val="95"/>
          <w:sz w:val="30"/>
          <w:szCs w:val="30"/>
          <w:lang w:eastAsia="zh-CN"/>
        </w:rPr>
        <w:t>“努力建设经济强，百姓福，环境美，社会化文明程度高的新江苏。”这是习近平总书记在2014年考察江苏时为我们擎画的宏伟蓝图。近年来，在市文旅局的大力关心与支持下，市</w:t>
      </w:r>
      <w:r>
        <w:rPr>
          <w:rFonts w:hint="eastAsia" w:ascii="仿宋" w:hAnsi="仿宋" w:eastAsia="仿宋" w:cs="仿宋"/>
          <w:spacing w:val="1"/>
          <w:w w:val="95"/>
          <w:sz w:val="30"/>
          <w:szCs w:val="30"/>
          <w:lang w:val="en-US" w:eastAsia="zh-CN"/>
        </w:rPr>
        <w:t>旅游形象推广中心</w:t>
      </w:r>
      <w:r>
        <w:rPr>
          <w:rFonts w:hint="eastAsia" w:ascii="仿宋" w:hAnsi="仿宋" w:eastAsia="仿宋" w:cs="仿宋"/>
          <w:spacing w:val="1"/>
          <w:w w:val="95"/>
          <w:sz w:val="30"/>
          <w:szCs w:val="30"/>
          <w:lang w:eastAsia="zh-CN"/>
        </w:rPr>
        <w:t>紧紧围绕习近平总书记赋予江苏“争当表率、争做示范、走在前列”的基本要求，建设“强富美高”新江苏的总蓝图，自觉把思想摆进去，把工作摆进去，把职责摆进去，不忘初心，牢记使命。不断用党的创新理论武装头脑、指导实践、有力地推动了研学、会奖等各项文旅推广工作的开展。各项任务顺利收官，各项工作圆满完成。重点工作完成情况如下：</w:t>
      </w:r>
    </w:p>
    <w:p w14:paraId="72AC5E4E">
      <w:pPr>
        <w:pStyle w:val="3"/>
        <w:keepNext w:val="0"/>
        <w:keepLines w:val="0"/>
        <w:pageBreakBefore w:val="0"/>
        <w:widowControl w:val="0"/>
        <w:kinsoku/>
        <w:wordWrap/>
        <w:overflowPunct/>
        <w:topLinePunct w:val="0"/>
        <w:autoSpaceDE w:val="0"/>
        <w:autoSpaceDN w:val="0"/>
        <w:bidi w:val="0"/>
        <w:adjustRightInd/>
        <w:snapToGrid/>
        <w:spacing w:before="0" w:beforeLines="0" w:line="360" w:lineRule="auto"/>
        <w:ind w:left="0" w:firstLine="600" w:firstLineChars="200"/>
        <w:jc w:val="both"/>
        <w:textAlignment w:val="auto"/>
        <w:outlineLvl w:val="1"/>
        <w:rPr>
          <w:rFonts w:hint="eastAsia" w:ascii="仿宋" w:hAnsi="仿宋" w:eastAsia="仿宋" w:cs="仿宋"/>
          <w:b w:val="0"/>
          <w:bCs w:val="0"/>
          <w:snapToGrid w:val="0"/>
          <w:color w:val="000000"/>
          <w:sz w:val="30"/>
          <w:szCs w:val="30"/>
          <w:lang w:val="en-US" w:eastAsia="zh-CN" w:bidi="ar-SA"/>
        </w:rPr>
      </w:pPr>
      <w:bookmarkStart w:id="121" w:name="（一）优化推广服务形式，护航会奖市场复苏"/>
      <w:bookmarkEnd w:id="121"/>
      <w:bookmarkStart w:id="122" w:name="_Toc749516793"/>
      <w:bookmarkStart w:id="123" w:name="_Toc949629819"/>
      <w:bookmarkStart w:id="124" w:name="_Toc1054067491"/>
      <w:bookmarkStart w:id="125" w:name="_Toc1499232566"/>
      <w:bookmarkStart w:id="126" w:name="_Toc1856434624"/>
      <w:bookmarkStart w:id="127" w:name="_Toc531731929"/>
      <w:bookmarkStart w:id="128" w:name="_Toc578117944"/>
      <w:bookmarkStart w:id="129" w:name="_Toc477883529"/>
      <w:bookmarkStart w:id="130" w:name="_Toc829780711"/>
      <w:bookmarkStart w:id="131" w:name="_Toc11540"/>
      <w:bookmarkStart w:id="132" w:name="_Toc1787591941"/>
      <w:r>
        <w:rPr>
          <w:rFonts w:hint="eastAsia" w:ascii="仿宋" w:hAnsi="仿宋" w:eastAsia="仿宋" w:cs="仿宋"/>
          <w:b w:val="0"/>
          <w:bCs w:val="0"/>
          <w:snapToGrid w:val="0"/>
          <w:color w:val="000000"/>
          <w:sz w:val="30"/>
          <w:szCs w:val="30"/>
          <w:lang w:val="en-US" w:eastAsia="zh-CN" w:bidi="ar-SA"/>
        </w:rPr>
        <w:t>（一）“塑产品”与“重宣推”并行，讲好“研学南京”品牌故事</w:t>
      </w:r>
      <w:bookmarkEnd w:id="122"/>
      <w:bookmarkEnd w:id="123"/>
      <w:bookmarkEnd w:id="124"/>
      <w:bookmarkEnd w:id="125"/>
      <w:bookmarkEnd w:id="126"/>
      <w:bookmarkEnd w:id="127"/>
      <w:bookmarkEnd w:id="128"/>
      <w:bookmarkEnd w:id="129"/>
      <w:bookmarkEnd w:id="130"/>
      <w:bookmarkEnd w:id="131"/>
      <w:bookmarkEnd w:id="132"/>
    </w:p>
    <w:p w14:paraId="10A9096B">
      <w:pPr>
        <w:keepNext w:val="0"/>
        <w:keepLines w:val="0"/>
        <w:pageBreakBefore w:val="0"/>
        <w:widowControl w:val="0"/>
        <w:kinsoku/>
        <w:wordWrap/>
        <w:overflowPunct/>
        <w:topLinePunct w:val="0"/>
        <w:autoSpaceDE w:val="0"/>
        <w:autoSpaceDN w:val="0"/>
        <w:bidi w:val="0"/>
        <w:adjustRightInd/>
        <w:snapToGrid/>
        <w:spacing w:beforeLines="0" w:line="360" w:lineRule="auto"/>
        <w:ind w:left="0" w:leftChars="0" w:right="0" w:rightChars="0" w:firstLine="574" w:firstLineChars="200"/>
        <w:jc w:val="both"/>
        <w:textAlignment w:val="auto"/>
        <w:rPr>
          <w:rFonts w:hint="eastAsia" w:ascii="仿宋" w:hAnsi="仿宋" w:eastAsia="仿宋" w:cs="仿宋"/>
          <w:spacing w:val="1"/>
          <w:w w:val="95"/>
          <w:sz w:val="30"/>
          <w:szCs w:val="30"/>
          <w:lang w:val="en-US" w:eastAsia="zh-CN" w:bidi="ar-SA"/>
        </w:rPr>
      </w:pPr>
      <w:r>
        <w:rPr>
          <w:rFonts w:hint="eastAsia" w:ascii="仿宋" w:hAnsi="仿宋" w:eastAsia="仿宋" w:cs="仿宋"/>
          <w:spacing w:val="1"/>
          <w:w w:val="95"/>
          <w:sz w:val="30"/>
          <w:szCs w:val="30"/>
          <w:lang w:val="en-US" w:eastAsia="zh-CN" w:bidi="ar-SA"/>
        </w:rPr>
        <w:t>（1）先后组织南京亲子研学旅游企业及媒体代表赴苏州、芜湖等地，举办南京2023年度亲子研学旅游产品推广活动。重点宣推特色亲子研学旅游产品70余个，服务企业50余家，并于全年持续进行线上线下全方位推广。据《全国旅游监管服务平台》数据显示，1-10月份，南京市旅行社接待研学旅游客人134万人次，位列全省第一。</w:t>
      </w:r>
    </w:p>
    <w:p w14:paraId="63CB6297">
      <w:pPr>
        <w:keepNext w:val="0"/>
        <w:keepLines w:val="0"/>
        <w:pageBreakBefore w:val="0"/>
        <w:widowControl w:val="0"/>
        <w:kinsoku/>
        <w:wordWrap/>
        <w:overflowPunct/>
        <w:topLinePunct w:val="0"/>
        <w:autoSpaceDE w:val="0"/>
        <w:autoSpaceDN w:val="0"/>
        <w:bidi w:val="0"/>
        <w:adjustRightInd/>
        <w:snapToGrid/>
        <w:spacing w:beforeLines="0" w:line="360" w:lineRule="auto"/>
        <w:ind w:left="0" w:leftChars="0" w:right="0" w:rightChars="0" w:firstLine="574" w:firstLineChars="200"/>
        <w:jc w:val="both"/>
        <w:textAlignment w:val="auto"/>
        <w:rPr>
          <w:rFonts w:hint="eastAsia" w:ascii="仿宋" w:hAnsi="仿宋" w:eastAsia="仿宋" w:cs="仿宋"/>
          <w:spacing w:val="1"/>
          <w:w w:val="95"/>
          <w:sz w:val="30"/>
          <w:szCs w:val="30"/>
          <w:lang w:val="en-US" w:eastAsia="zh-CN" w:bidi="ar-SA"/>
        </w:rPr>
      </w:pPr>
      <w:r>
        <w:rPr>
          <w:rFonts w:hint="eastAsia" w:ascii="仿宋" w:hAnsi="仿宋" w:eastAsia="仿宋" w:cs="仿宋"/>
          <w:spacing w:val="1"/>
          <w:w w:val="95"/>
          <w:sz w:val="30"/>
          <w:szCs w:val="30"/>
          <w:lang w:val="en-US" w:eastAsia="zh-CN" w:bidi="ar-SA"/>
        </w:rPr>
        <w:t>（2）2023年围绕“研学南京 成长旅行”的品牌核心，举办亲子研学旅游产品发布会，共发布3大类别100余款产品，聚焦“趣童年”“悦少年”“励青春”等三大板块，将研学旅游体验与长江大保护、非遗工匠精神、世界文学之都、中华文明探源、跨界融合等多类主题元素紧密结合，引领企业共同打造高质量产品，生动精彩地讲好南京故事。</w:t>
      </w:r>
    </w:p>
    <w:p w14:paraId="5AB2D861">
      <w:pPr>
        <w:keepNext w:val="0"/>
        <w:keepLines w:val="0"/>
        <w:pageBreakBefore w:val="0"/>
        <w:widowControl w:val="0"/>
        <w:kinsoku/>
        <w:wordWrap/>
        <w:overflowPunct/>
        <w:topLinePunct w:val="0"/>
        <w:autoSpaceDE w:val="0"/>
        <w:autoSpaceDN w:val="0"/>
        <w:bidi w:val="0"/>
        <w:adjustRightInd/>
        <w:snapToGrid/>
        <w:spacing w:beforeLines="0" w:line="360" w:lineRule="auto"/>
        <w:ind w:left="0" w:leftChars="0" w:right="0" w:rightChars="0" w:firstLine="574" w:firstLineChars="200"/>
        <w:jc w:val="both"/>
        <w:textAlignment w:val="auto"/>
        <w:rPr>
          <w:rFonts w:hint="eastAsia" w:ascii="仿宋" w:hAnsi="仿宋" w:eastAsia="仿宋" w:cs="仿宋"/>
          <w:spacing w:val="1"/>
          <w:w w:val="95"/>
          <w:sz w:val="30"/>
          <w:szCs w:val="30"/>
          <w:lang w:val="en-US" w:eastAsia="zh-CN" w:bidi="ar-SA"/>
        </w:rPr>
      </w:pPr>
      <w:r>
        <w:rPr>
          <w:rFonts w:hint="eastAsia" w:ascii="仿宋" w:hAnsi="仿宋" w:eastAsia="仿宋" w:cs="仿宋"/>
          <w:spacing w:val="1"/>
          <w:w w:val="95"/>
          <w:sz w:val="30"/>
          <w:szCs w:val="30"/>
          <w:lang w:val="en-US" w:eastAsia="zh-CN" w:bidi="ar-SA"/>
        </w:rPr>
        <w:t>（3）2022年7月，南京市《研学旅行基地服务规范》正式发布，为全省首家，经过一年多的推进落实及宣传推广，将引领行业规范化、高质量发展举措落到实处。结合主题教育，深入基层调研，先后向南京40余家研学旅游市场主体宣讲指导；2023年，在推进该规范的行业应用探索中，甄选出水慢城湿地自然学校等首批10处“南京研学旅行特色场地”，升级文旅新场景，促进产品新转型；2022至2023年，以该规范关于研学产品的策划指导出发，优选历史、文学、非遗、科技、跨界融合等多类50款原创产品给予南京数字版权交易平台的版权认证，为优质产品增加知识产权保护；设计制作《南京都市圈研学之旅》，策划推出“南京+”都市圈精品旅游线路，积极征求南京都市圈成员城市及地区的意见，一致同意将南京市《研学旅行基地服务规范》共同推进升级为南京都市圈区域标准，并纳入2024年重点工作计划。</w:t>
      </w:r>
    </w:p>
    <w:p w14:paraId="43447530">
      <w:pPr>
        <w:keepNext w:val="0"/>
        <w:keepLines w:val="0"/>
        <w:pageBreakBefore w:val="0"/>
        <w:widowControl w:val="0"/>
        <w:kinsoku/>
        <w:wordWrap/>
        <w:overflowPunct/>
        <w:topLinePunct w:val="0"/>
        <w:autoSpaceDE w:val="0"/>
        <w:autoSpaceDN w:val="0"/>
        <w:bidi w:val="0"/>
        <w:adjustRightInd/>
        <w:snapToGrid/>
        <w:spacing w:beforeLines="0" w:line="360" w:lineRule="auto"/>
        <w:ind w:left="0" w:leftChars="0" w:right="0" w:rightChars="0" w:firstLine="574" w:firstLineChars="200"/>
        <w:jc w:val="both"/>
        <w:textAlignment w:val="auto"/>
        <w:rPr>
          <w:rFonts w:hint="eastAsia" w:ascii="仿宋" w:hAnsi="仿宋" w:eastAsia="仿宋" w:cs="仿宋"/>
          <w:spacing w:val="1"/>
          <w:w w:val="95"/>
          <w:sz w:val="30"/>
          <w:szCs w:val="30"/>
          <w:lang w:val="en-US" w:eastAsia="zh-CN" w:bidi="ar-SA"/>
        </w:rPr>
      </w:pPr>
      <w:r>
        <w:rPr>
          <w:rFonts w:hint="eastAsia" w:ascii="仿宋" w:hAnsi="仿宋" w:eastAsia="仿宋" w:cs="仿宋"/>
          <w:spacing w:val="1"/>
          <w:w w:val="95"/>
          <w:sz w:val="30"/>
          <w:szCs w:val="30"/>
          <w:lang w:val="en-US" w:eastAsia="zh-CN" w:bidi="ar-SA"/>
        </w:rPr>
        <w:t>（4）重点聚焦南京亲子研学旅游产品现状，通过单点实地走访、线上访谈调研、集中座谈调研等形式，深入各类企业调查研究、查找问题，并先后组织南京研学旅游企业60余家参与孩子王同城文旅峰会、周边实地考察及同业交流活动等。</w:t>
      </w:r>
    </w:p>
    <w:p w14:paraId="59CE8302">
      <w:pPr>
        <w:pStyle w:val="2"/>
        <w:keepNext w:val="0"/>
        <w:keepLines w:val="0"/>
        <w:pageBreakBefore w:val="0"/>
        <w:wordWrap/>
        <w:overflowPunct/>
        <w:topLinePunct w:val="0"/>
        <w:autoSpaceDE w:val="0"/>
        <w:autoSpaceDN w:val="0"/>
        <w:bidi w:val="0"/>
        <w:spacing w:before="0" w:beforeLines="0" w:after="0" w:line="360" w:lineRule="auto"/>
        <w:ind w:left="0" w:right="0" w:firstLine="600" w:firstLineChars="200"/>
        <w:jc w:val="both"/>
        <w:outlineLvl w:val="1"/>
        <w:rPr>
          <w:rFonts w:hint="eastAsia" w:ascii="仿宋" w:hAnsi="仿宋" w:eastAsia="仿宋" w:cs="仿宋"/>
          <w:snapToGrid w:val="0"/>
          <w:color w:val="000000"/>
          <w:sz w:val="30"/>
          <w:szCs w:val="30"/>
        </w:rPr>
      </w:pPr>
      <w:bookmarkStart w:id="133" w:name="（二）创新品牌文化内涵，激活研学旅游市场"/>
      <w:bookmarkEnd w:id="133"/>
      <w:bookmarkStart w:id="134" w:name="_Toc199632123"/>
      <w:bookmarkStart w:id="135" w:name="_Toc25485"/>
      <w:bookmarkStart w:id="136" w:name="_Toc1139075536"/>
      <w:bookmarkStart w:id="137" w:name="_Toc306818305"/>
      <w:bookmarkStart w:id="138" w:name="_Toc1119717134"/>
      <w:bookmarkStart w:id="139" w:name="_Toc2137150296"/>
      <w:bookmarkStart w:id="140" w:name="_Toc1176106511"/>
      <w:bookmarkStart w:id="141" w:name="_Toc329903429"/>
      <w:bookmarkStart w:id="142" w:name="_Toc761530857"/>
      <w:bookmarkStart w:id="143" w:name="_Toc1212265780"/>
      <w:bookmarkStart w:id="144" w:name="_Toc365606159"/>
      <w:r>
        <w:rPr>
          <w:rFonts w:hint="eastAsia" w:ascii="仿宋" w:hAnsi="仿宋" w:eastAsia="仿宋" w:cs="仿宋"/>
          <w:snapToGrid w:val="0"/>
          <w:color w:val="000000"/>
          <w:sz w:val="30"/>
          <w:szCs w:val="30"/>
        </w:rPr>
        <w:t>（二）“走出去”与“请进来”并行，扩大会奖旅游品牌效应</w:t>
      </w:r>
      <w:bookmarkEnd w:id="134"/>
      <w:bookmarkEnd w:id="135"/>
      <w:bookmarkEnd w:id="136"/>
      <w:bookmarkEnd w:id="137"/>
      <w:bookmarkEnd w:id="138"/>
      <w:bookmarkEnd w:id="139"/>
      <w:bookmarkEnd w:id="140"/>
      <w:bookmarkEnd w:id="141"/>
      <w:bookmarkEnd w:id="142"/>
      <w:bookmarkEnd w:id="143"/>
      <w:bookmarkEnd w:id="144"/>
    </w:p>
    <w:p w14:paraId="2A2BDA31">
      <w:pPr>
        <w:pStyle w:val="2"/>
        <w:keepNext w:val="0"/>
        <w:keepLines w:val="0"/>
        <w:pageBreakBefore w:val="0"/>
        <w:widowControl w:val="0"/>
        <w:kinsoku/>
        <w:wordWrap/>
        <w:overflowPunct/>
        <w:topLinePunct w:val="0"/>
        <w:autoSpaceDE w:val="0"/>
        <w:autoSpaceDN w:val="0"/>
        <w:bidi w:val="0"/>
        <w:adjustRightInd/>
        <w:snapToGrid/>
        <w:spacing w:before="0" w:beforeLines="0" w:line="360" w:lineRule="auto"/>
        <w:ind w:left="0" w:leftChars="0" w:right="0" w:rightChars="0" w:firstLine="574" w:firstLineChars="200"/>
        <w:jc w:val="both"/>
        <w:textAlignment w:val="auto"/>
        <w:rPr>
          <w:rFonts w:hint="eastAsia" w:ascii="仿宋" w:hAnsi="仿宋" w:eastAsia="仿宋" w:cs="仿宋"/>
          <w:spacing w:val="1"/>
          <w:w w:val="95"/>
          <w:sz w:val="30"/>
          <w:szCs w:val="30"/>
          <w:lang w:val="en-US" w:eastAsia="zh-CN" w:bidi="ar-SA"/>
        </w:rPr>
      </w:pPr>
      <w:r>
        <w:rPr>
          <w:rFonts w:hint="eastAsia" w:ascii="仿宋" w:hAnsi="仿宋" w:eastAsia="仿宋" w:cs="仿宋"/>
          <w:spacing w:val="1"/>
          <w:w w:val="95"/>
          <w:sz w:val="30"/>
          <w:szCs w:val="30"/>
          <w:lang w:val="en-US" w:eastAsia="zh-CN" w:bidi="ar-SA"/>
        </w:rPr>
        <w:t>（1）组织南京会议型酒店、会奖服务商、重点景区等70余家会奖旅游企业参加第十四届、第十五届中国会议产业大会（CMIC）、中国国际会奖旅游博览会（IT&amp;CM CHINA）、第十二届中外会展投资合作洽谈会（EIIE 2023）、第十届中国会展会奖产业交易会、第四届中外会展品牌大会（ICEBC）等，搭建与各地最主要的公关策划公司、企业买家以及协会买家进行深度商务交流的契机与平台，通过城市推介和商务对洽，将南京文旅发展的新动向及最新的会奖旅游资源进行全方位的展现，为南京会奖旅游企业创造有效商务洽谈3000余次，捧回“中国最具魅力会奖目的地”“中国最佳会议会奖目的地城市Top 1”等殊荣。</w:t>
      </w:r>
    </w:p>
    <w:p w14:paraId="1358FE60">
      <w:pPr>
        <w:pStyle w:val="2"/>
        <w:keepNext w:val="0"/>
        <w:keepLines w:val="0"/>
        <w:pageBreakBefore w:val="0"/>
        <w:widowControl w:val="0"/>
        <w:kinsoku/>
        <w:wordWrap/>
        <w:overflowPunct/>
        <w:topLinePunct w:val="0"/>
        <w:autoSpaceDE w:val="0"/>
        <w:autoSpaceDN w:val="0"/>
        <w:bidi w:val="0"/>
        <w:adjustRightInd/>
        <w:snapToGrid/>
        <w:spacing w:before="0" w:beforeLines="0" w:line="360" w:lineRule="auto"/>
        <w:ind w:left="0" w:leftChars="0" w:right="0" w:rightChars="0" w:firstLine="574" w:firstLineChars="200"/>
        <w:jc w:val="both"/>
        <w:textAlignment w:val="auto"/>
        <w:rPr>
          <w:rFonts w:hint="eastAsia" w:ascii="仿宋" w:hAnsi="仿宋" w:eastAsia="仿宋" w:cs="仿宋"/>
          <w:spacing w:val="1"/>
          <w:w w:val="95"/>
          <w:sz w:val="30"/>
          <w:szCs w:val="30"/>
          <w:lang w:val="en-US" w:eastAsia="zh-CN" w:bidi="ar-SA"/>
        </w:rPr>
      </w:pPr>
      <w:r>
        <w:rPr>
          <w:rFonts w:hint="eastAsia" w:ascii="仿宋" w:hAnsi="仿宋" w:eastAsia="仿宋" w:cs="仿宋"/>
          <w:spacing w:val="1"/>
          <w:w w:val="95"/>
          <w:sz w:val="30"/>
          <w:szCs w:val="30"/>
          <w:lang w:val="en-US" w:eastAsia="zh-CN" w:bidi="ar-SA"/>
        </w:rPr>
        <w:t>（2）组织建邺区文化和旅游局、南京会议型酒店、会奖服务商、重点景区等近30家会奖旅游企业，赴深圳举办2023南京会奖旅游（深圳）推介会暨采购对洽大会，与深圳最主要的PCO、企业买家以及协会买家共计100余人齐聚一堂，场洽谈次数高达700多次，促成的意向项目近100个。通过城市推介和商务对洽的环节进行深度交流，将南京文旅发展的新动向及最新的会奖旅游资源进行全方位展现，进一步提升“约会南京 会见惊喜”会奖旅游品牌在华南地区的影响力。</w:t>
      </w:r>
    </w:p>
    <w:p w14:paraId="2FE8C6B7">
      <w:pPr>
        <w:pStyle w:val="2"/>
        <w:keepNext w:val="0"/>
        <w:keepLines w:val="0"/>
        <w:pageBreakBefore w:val="0"/>
        <w:widowControl w:val="0"/>
        <w:kinsoku/>
        <w:wordWrap/>
        <w:overflowPunct/>
        <w:topLinePunct w:val="0"/>
        <w:autoSpaceDE w:val="0"/>
        <w:autoSpaceDN w:val="0"/>
        <w:bidi w:val="0"/>
        <w:adjustRightInd/>
        <w:snapToGrid/>
        <w:spacing w:before="0" w:beforeLines="0" w:line="360" w:lineRule="auto"/>
        <w:ind w:left="0" w:leftChars="0" w:right="0" w:rightChars="0" w:firstLine="574" w:firstLineChars="200"/>
        <w:jc w:val="both"/>
        <w:textAlignment w:val="auto"/>
        <w:rPr>
          <w:rFonts w:hint="eastAsia" w:ascii="仿宋" w:hAnsi="仿宋" w:eastAsia="仿宋" w:cs="仿宋"/>
          <w:spacing w:val="1"/>
          <w:w w:val="95"/>
          <w:sz w:val="30"/>
          <w:szCs w:val="30"/>
          <w:lang w:val="en-US" w:eastAsia="zh-CN" w:bidi="ar-SA"/>
        </w:rPr>
      </w:pPr>
      <w:r>
        <w:rPr>
          <w:rFonts w:hint="eastAsia" w:ascii="仿宋" w:hAnsi="仿宋" w:eastAsia="仿宋" w:cs="仿宋"/>
          <w:spacing w:val="1"/>
          <w:w w:val="95"/>
          <w:sz w:val="30"/>
          <w:szCs w:val="30"/>
          <w:lang w:val="en-US" w:eastAsia="zh-CN" w:bidi="ar-SA"/>
        </w:rPr>
        <w:t>（3）针对“大调研”期间走访了解的企业需求，结合南京会奖旅游市场现状，于11月中旬邀请近30家上海及周边会奖旅游采购商走进南京，进行会奖旅游优质资源、特色场地、新兴产品等踩线活动，同期举办上海、南京两地会奖旅游企业洽谈交流会，进一步扩大牛首山文化旅游区、金陵小城、南京城墙、江宁织造博物馆、河西安达仕酒店等重要景点和文旅主体的知名度，促进了优质会奖旅游产品的市场活跃度，为南京会奖旅游企业创造了更多的市场机遇。</w:t>
      </w:r>
    </w:p>
    <w:p w14:paraId="7A0F2BC6">
      <w:pPr>
        <w:pStyle w:val="2"/>
        <w:keepNext w:val="0"/>
        <w:keepLines w:val="0"/>
        <w:pageBreakBefore w:val="0"/>
        <w:widowControl w:val="0"/>
        <w:kinsoku/>
        <w:wordWrap/>
        <w:overflowPunct/>
        <w:topLinePunct w:val="0"/>
        <w:autoSpaceDE w:val="0"/>
        <w:autoSpaceDN w:val="0"/>
        <w:bidi w:val="0"/>
        <w:adjustRightInd/>
        <w:snapToGrid/>
        <w:spacing w:before="0" w:beforeLines="0" w:line="360" w:lineRule="auto"/>
        <w:ind w:left="0" w:leftChars="0" w:right="0" w:rightChars="0" w:firstLine="600" w:firstLineChars="200"/>
        <w:jc w:val="both"/>
        <w:textAlignment w:val="auto"/>
        <w:outlineLvl w:val="1"/>
        <w:rPr>
          <w:rFonts w:hint="eastAsia" w:ascii="仿宋" w:hAnsi="仿宋" w:eastAsia="仿宋" w:cs="仿宋"/>
          <w:snapToGrid w:val="0"/>
          <w:color w:val="000000"/>
          <w:sz w:val="30"/>
          <w:szCs w:val="30"/>
          <w:lang w:val="en-US" w:eastAsia="zh-CN" w:bidi="ar-SA"/>
        </w:rPr>
      </w:pPr>
      <w:bookmarkStart w:id="145" w:name="_Toc273545150"/>
      <w:bookmarkStart w:id="146" w:name="_Toc1373605371"/>
      <w:bookmarkStart w:id="147" w:name="_Toc46577479"/>
      <w:bookmarkStart w:id="148" w:name="_Toc587015688"/>
      <w:bookmarkStart w:id="149" w:name="_Toc847634647"/>
      <w:bookmarkStart w:id="150" w:name="_Toc18060"/>
      <w:bookmarkStart w:id="151" w:name="_Toc686672477"/>
      <w:bookmarkStart w:id="152" w:name="_Toc1382643389"/>
      <w:bookmarkStart w:id="153" w:name="_Toc792000246"/>
      <w:bookmarkStart w:id="154" w:name="_Toc2031638296"/>
      <w:bookmarkStart w:id="155" w:name="_Toc1773304194"/>
      <w:r>
        <w:rPr>
          <w:rFonts w:hint="eastAsia" w:ascii="仿宋" w:hAnsi="仿宋" w:eastAsia="仿宋" w:cs="仿宋"/>
          <w:snapToGrid w:val="0"/>
          <w:color w:val="000000"/>
          <w:sz w:val="30"/>
          <w:szCs w:val="30"/>
          <w:lang w:val="en-US" w:eastAsia="zh-CN" w:bidi="ar-SA"/>
        </w:rPr>
        <w:t>（三）“极美南京”，宣传矩阵与视频内容共建</w:t>
      </w:r>
      <w:bookmarkEnd w:id="145"/>
      <w:bookmarkEnd w:id="146"/>
      <w:bookmarkEnd w:id="147"/>
      <w:bookmarkEnd w:id="148"/>
      <w:bookmarkEnd w:id="149"/>
      <w:bookmarkEnd w:id="150"/>
      <w:bookmarkEnd w:id="151"/>
      <w:bookmarkEnd w:id="152"/>
      <w:bookmarkEnd w:id="153"/>
      <w:bookmarkEnd w:id="154"/>
      <w:bookmarkEnd w:id="155"/>
    </w:p>
    <w:p w14:paraId="5513A71F">
      <w:pPr>
        <w:pStyle w:val="2"/>
        <w:keepNext w:val="0"/>
        <w:keepLines w:val="0"/>
        <w:pageBreakBefore w:val="0"/>
        <w:widowControl w:val="0"/>
        <w:kinsoku/>
        <w:wordWrap/>
        <w:overflowPunct/>
        <w:topLinePunct w:val="0"/>
        <w:autoSpaceDE w:val="0"/>
        <w:autoSpaceDN w:val="0"/>
        <w:bidi w:val="0"/>
        <w:adjustRightInd/>
        <w:snapToGrid/>
        <w:spacing w:before="0" w:beforeLines="0" w:line="360" w:lineRule="auto"/>
        <w:ind w:left="0" w:leftChars="0" w:right="0" w:rightChars="0" w:firstLine="600" w:firstLineChars="200"/>
        <w:jc w:val="both"/>
        <w:textAlignment w:val="auto"/>
        <w:rPr>
          <w:rFonts w:hint="eastAsia" w:ascii="仿宋" w:hAnsi="仿宋" w:eastAsia="仿宋" w:cs="仿宋"/>
          <w:snapToGrid w:val="0"/>
          <w:color w:val="000000"/>
          <w:sz w:val="30"/>
          <w:szCs w:val="30"/>
          <w:lang w:val="en-US" w:eastAsia="zh-CN" w:bidi="ar-SA"/>
        </w:rPr>
      </w:pPr>
      <w:bookmarkStart w:id="156" w:name="（四）筑牢疫情防控工事，扶助本地文旅企业"/>
      <w:bookmarkEnd w:id="156"/>
      <w:r>
        <w:rPr>
          <w:rFonts w:hint="eastAsia" w:ascii="仿宋" w:hAnsi="仿宋" w:eastAsia="仿宋" w:cs="仿宋"/>
          <w:snapToGrid w:val="0"/>
          <w:color w:val="000000"/>
          <w:sz w:val="30"/>
          <w:szCs w:val="30"/>
          <w:lang w:val="en-US" w:eastAsia="zh-CN" w:bidi="ar-SA"/>
        </w:rPr>
        <w:t>建立以微信视频号、抖音号等为主阵地的视频新媒体宣传矩阵，覆盖全域范围，聚焦特色产品，陆续推出“极美南京”之研学系列、深度游系列、季节产品系列等主题视频85期（视频号50期、抖音号35期），全平台浏览量约420万余次。7月新发布的特色主题宣传片《停留南京》，更是成为刷爆朋友圈的“爆款”，10月发布的《你是我最美的风景》通过南京文旅、南京发布等官方及合作媒体平台线上陆续发布，引发观众关于南京无限的美好想象。同时聚焦南京作为最佳会议会奖目的地及研学游、暑期游等热潮，陆续对系列场馆及产品进行深度报道和宣传，发布新闻报道150余篇。</w:t>
      </w:r>
    </w:p>
    <w:p w14:paraId="5EAB0A49">
      <w:pPr>
        <w:pStyle w:val="2"/>
        <w:keepNext w:val="0"/>
        <w:keepLines w:val="0"/>
        <w:pageBreakBefore w:val="0"/>
        <w:widowControl w:val="0"/>
        <w:numPr>
          <w:ilvl w:val="-1"/>
          <w:numId w:val="0"/>
        </w:numPr>
        <w:kinsoku/>
        <w:wordWrap/>
        <w:overflowPunct/>
        <w:topLinePunct w:val="0"/>
        <w:autoSpaceDE w:val="0"/>
        <w:autoSpaceDN w:val="0"/>
        <w:bidi w:val="0"/>
        <w:adjustRightInd/>
        <w:snapToGrid/>
        <w:spacing w:before="0" w:beforeLines="0" w:line="360" w:lineRule="auto"/>
        <w:ind w:left="440" w:leftChars="200" w:right="0" w:rightChars="0" w:firstLine="0" w:firstLineChars="0"/>
        <w:jc w:val="both"/>
        <w:textAlignment w:val="auto"/>
        <w:outlineLvl w:val="1"/>
        <w:rPr>
          <w:rFonts w:hint="eastAsia" w:ascii="仿宋" w:hAnsi="仿宋" w:eastAsia="仿宋" w:cs="仿宋"/>
          <w:snapToGrid w:val="0"/>
          <w:color w:val="000000"/>
          <w:sz w:val="30"/>
          <w:szCs w:val="30"/>
          <w:lang w:val="en-US" w:eastAsia="zh-CN" w:bidi="ar-SA"/>
        </w:rPr>
      </w:pPr>
      <w:bookmarkStart w:id="157" w:name="_Toc327201961"/>
      <w:bookmarkStart w:id="158" w:name="_Toc754853572"/>
      <w:bookmarkStart w:id="159" w:name="_Toc1044490416"/>
      <w:bookmarkStart w:id="160" w:name="_Toc1936481578"/>
      <w:bookmarkStart w:id="161" w:name="_Toc166894736"/>
      <w:bookmarkStart w:id="162" w:name="_Toc736265147"/>
      <w:bookmarkStart w:id="163" w:name="_Toc1145535492"/>
      <w:bookmarkStart w:id="164" w:name="_Toc1858331470"/>
      <w:bookmarkStart w:id="165" w:name="_Toc432793898"/>
      <w:bookmarkStart w:id="166" w:name="_Toc1143642045"/>
      <w:r>
        <w:rPr>
          <w:rFonts w:hint="eastAsia" w:ascii="仿宋" w:hAnsi="仿宋" w:eastAsia="仿宋" w:cs="仿宋"/>
          <w:snapToGrid w:val="0"/>
          <w:color w:val="000000"/>
          <w:sz w:val="30"/>
          <w:szCs w:val="30"/>
          <w:lang w:val="en-US" w:eastAsia="zh-CN" w:bidi="ar-SA"/>
        </w:rPr>
        <w:t>（四）“调查研究”，市场需求与企业诉求同解</w:t>
      </w:r>
      <w:bookmarkEnd w:id="157"/>
      <w:bookmarkEnd w:id="158"/>
      <w:bookmarkEnd w:id="159"/>
      <w:bookmarkEnd w:id="160"/>
      <w:bookmarkEnd w:id="161"/>
      <w:bookmarkEnd w:id="162"/>
      <w:bookmarkEnd w:id="163"/>
      <w:bookmarkEnd w:id="164"/>
      <w:bookmarkEnd w:id="165"/>
      <w:bookmarkEnd w:id="166"/>
    </w:p>
    <w:p w14:paraId="0C1CE09A">
      <w:pPr>
        <w:pStyle w:val="2"/>
        <w:keepNext w:val="0"/>
        <w:keepLines w:val="0"/>
        <w:pageBreakBefore w:val="0"/>
        <w:widowControl w:val="0"/>
        <w:kinsoku/>
        <w:wordWrap/>
        <w:overflowPunct/>
        <w:topLinePunct w:val="0"/>
        <w:autoSpaceDE w:val="0"/>
        <w:autoSpaceDN w:val="0"/>
        <w:bidi w:val="0"/>
        <w:adjustRightInd/>
        <w:snapToGrid/>
        <w:spacing w:before="0" w:beforeLines="0" w:line="360" w:lineRule="auto"/>
        <w:ind w:left="0" w:leftChars="0" w:right="0" w:rightChars="0" w:firstLine="600" w:firstLineChars="200"/>
        <w:jc w:val="both"/>
        <w:textAlignment w:val="auto"/>
        <w:rPr>
          <w:rFonts w:hint="eastAsia" w:ascii="仿宋" w:hAnsi="仿宋" w:eastAsia="仿宋" w:cs="仿宋"/>
          <w:snapToGrid w:val="0"/>
          <w:color w:val="000000"/>
          <w:sz w:val="30"/>
          <w:szCs w:val="30"/>
          <w:lang w:val="en-US" w:eastAsia="zh-CN" w:bidi="ar-SA"/>
        </w:rPr>
      </w:pPr>
      <w:r>
        <w:rPr>
          <w:rFonts w:hint="eastAsia" w:ascii="仿宋" w:hAnsi="仿宋" w:eastAsia="仿宋" w:cs="仿宋"/>
          <w:snapToGrid w:val="0"/>
          <w:color w:val="000000"/>
          <w:sz w:val="30"/>
          <w:szCs w:val="30"/>
          <w:lang w:val="en-US" w:eastAsia="zh-CN" w:bidi="ar-SA"/>
        </w:rPr>
        <w:t>采取实地调研、线上访问、集中座谈等相结合的形式，开展与浦口区、六合区、高淳区、溧水区等区文旅局及金陵酒店管理公司、金陵饭店、金陵江滨酒店、金陵晶元大酒店、湖滨金陵饭店、国睿金陵大酒店、南京圣和府邸豪华精选酒店、安达仕酒店、阅江楼风景区、长江江豚科教中心、江苏嘉期旅行社、南粮集团、固城湖水慢城景区等单位及企业，就南京文旅目的地推广计划、政府企业联合产品宣推、相关专项旅游业态信息等方面进行深度座谈交流，切实了解各企业对政府管理和服务方面的具体需求，及时研究制策，优化对企服务。共调研企业60家，收集反馈问题三大类42个，及时帮助企业解决问题39个，纳入下一步工作重点解决问题3个。</w:t>
      </w:r>
    </w:p>
    <w:p w14:paraId="41075060">
      <w:pPr>
        <w:spacing w:beforeLines="0" w:line="360" w:lineRule="auto"/>
        <w:ind w:firstLine="440" w:firstLineChars="200"/>
        <w:rPr>
          <w:rFonts w:hint="eastAsia"/>
          <w:lang w:val="en-US" w:eastAsia="zh-CN"/>
        </w:rPr>
      </w:pPr>
    </w:p>
    <w:p w14:paraId="61ADBE79">
      <w:pPr>
        <w:widowControl/>
        <w:kinsoku w:val="0"/>
        <w:adjustRightInd w:val="0"/>
        <w:snapToGrid w:val="0"/>
        <w:spacing w:before="0" w:beforeLines="0" w:after="0" w:line="360" w:lineRule="auto"/>
        <w:ind w:left="0" w:right="0" w:firstLine="636" w:firstLineChars="200"/>
        <w:jc w:val="both"/>
        <w:textAlignment w:val="baseline"/>
        <w:outlineLvl w:val="0"/>
        <w:rPr>
          <w:rFonts w:hint="eastAsia" w:ascii="仿宋" w:hAnsi="仿宋" w:eastAsia="仿宋" w:cs="仿宋"/>
          <w:snapToGrid w:val="0"/>
          <w:color w:val="000000"/>
          <w:spacing w:val="9"/>
          <w:sz w:val="30"/>
          <w:szCs w:val="30"/>
          <w14:textOutline w14:w="5791" w14:cap="flat" w14:cmpd="sng" w14:algn="ctr">
            <w14:solidFill>
              <w14:srgbClr w14:val="000000"/>
            </w14:solidFill>
            <w14:prstDash w14:val="solid"/>
            <w14:miter w14:val="0"/>
          </w14:textOutline>
        </w:rPr>
      </w:pPr>
      <w:bookmarkStart w:id="167" w:name="四、存在问题及原因分析"/>
      <w:bookmarkEnd w:id="167"/>
      <w:bookmarkStart w:id="168" w:name="_Toc10880"/>
      <w:bookmarkStart w:id="169" w:name="_Toc1213209665"/>
      <w:bookmarkStart w:id="170" w:name="_Toc824118689"/>
      <w:bookmarkStart w:id="171" w:name="_Toc439931297"/>
      <w:bookmarkStart w:id="172" w:name="_Toc386184970"/>
      <w:bookmarkStart w:id="173" w:name="_Toc1219091134"/>
      <w:bookmarkStart w:id="174" w:name="_Toc607551615"/>
      <w:bookmarkStart w:id="175" w:name="_Toc1638081775"/>
      <w:bookmarkStart w:id="176" w:name="_Toc2122337969"/>
      <w:bookmarkStart w:id="177" w:name="_Toc1331211161"/>
      <w:bookmarkStart w:id="178" w:name="_Toc1725222207"/>
      <w:r>
        <w:rPr>
          <w:rFonts w:hint="eastAsia" w:ascii="仿宋" w:hAnsi="仿宋" w:eastAsia="仿宋" w:cs="仿宋"/>
          <w:snapToGrid w:val="0"/>
          <w:color w:val="000000"/>
          <w:spacing w:val="9"/>
          <w:sz w:val="30"/>
          <w:szCs w:val="30"/>
          <w14:textOutline w14:w="5791" w14:cap="flat" w14:cmpd="sng" w14:algn="ctr">
            <w14:solidFill>
              <w14:srgbClr w14:val="000000"/>
            </w14:solidFill>
            <w14:prstDash w14:val="solid"/>
            <w14:miter w14:val="0"/>
          </w14:textOutline>
        </w:rPr>
        <w:t>四、存在问题及原因分析</w:t>
      </w:r>
      <w:bookmarkEnd w:id="168"/>
      <w:bookmarkEnd w:id="169"/>
      <w:bookmarkEnd w:id="170"/>
      <w:bookmarkEnd w:id="171"/>
      <w:bookmarkEnd w:id="172"/>
      <w:bookmarkEnd w:id="173"/>
      <w:bookmarkEnd w:id="174"/>
      <w:bookmarkEnd w:id="175"/>
      <w:bookmarkEnd w:id="176"/>
      <w:bookmarkEnd w:id="177"/>
      <w:bookmarkEnd w:id="178"/>
    </w:p>
    <w:p w14:paraId="2AEBFF48">
      <w:pPr>
        <w:pStyle w:val="2"/>
        <w:keepNext w:val="0"/>
        <w:keepLines w:val="0"/>
        <w:pageBreakBefore w:val="0"/>
        <w:widowControl w:val="0"/>
        <w:kinsoku/>
        <w:wordWrap/>
        <w:overflowPunct/>
        <w:topLinePunct w:val="0"/>
        <w:autoSpaceDE/>
        <w:autoSpaceDN/>
        <w:bidi w:val="0"/>
        <w:adjustRightInd/>
        <w:snapToGrid/>
        <w:spacing w:before="0" w:beforeLines="0" w:after="0" w:line="360" w:lineRule="auto"/>
        <w:ind w:left="0" w:right="0" w:firstLine="800" w:firstLineChars="200"/>
        <w:jc w:val="both"/>
        <w:textAlignment w:val="auto"/>
        <w:outlineLvl w:val="1"/>
        <w:rPr>
          <w:rFonts w:hint="default" w:ascii="仿宋" w:hAnsi="仿宋" w:eastAsia="仿宋" w:cs="仿宋"/>
          <w:snapToGrid w:val="0"/>
          <w:color w:val="000000"/>
          <w:spacing w:val="50"/>
          <w:kern w:val="0"/>
          <w:sz w:val="30"/>
          <w:szCs w:val="30"/>
          <w:lang w:val="en-US" w:eastAsia="zh-CN"/>
        </w:rPr>
      </w:pPr>
      <w:bookmarkStart w:id="179" w:name="（一）内部控制制度有待建立健全"/>
      <w:bookmarkEnd w:id="179"/>
      <w:bookmarkStart w:id="180" w:name="_Toc430868313"/>
      <w:bookmarkStart w:id="181" w:name="_Toc57611390"/>
      <w:bookmarkStart w:id="182" w:name="_Toc1840766520"/>
      <w:bookmarkStart w:id="183" w:name="_Toc123213111"/>
      <w:bookmarkStart w:id="184" w:name="_Toc485431255"/>
      <w:bookmarkStart w:id="185" w:name="_Toc139112058"/>
      <w:bookmarkStart w:id="186" w:name="_Toc915209556"/>
      <w:bookmarkStart w:id="187" w:name="_Toc1181348481"/>
      <w:bookmarkStart w:id="188" w:name="_Toc500037885"/>
      <w:bookmarkStart w:id="189" w:name="_Toc1982735467"/>
      <w:bookmarkStart w:id="190" w:name="_Toc14144"/>
      <w:r>
        <w:rPr>
          <w:rFonts w:hint="eastAsia" w:ascii="仿宋" w:hAnsi="仿宋" w:eastAsia="仿宋" w:cs="仿宋"/>
          <w:snapToGrid w:val="0"/>
          <w:color w:val="000000"/>
          <w:spacing w:val="50"/>
          <w:kern w:val="0"/>
          <w:sz w:val="30"/>
          <w:szCs w:val="30"/>
          <w:lang w:eastAsia="zh-CN"/>
        </w:rPr>
        <w:t>（</w:t>
      </w:r>
      <w:r>
        <w:rPr>
          <w:rFonts w:hint="eastAsia" w:ascii="仿宋" w:hAnsi="仿宋" w:eastAsia="仿宋" w:cs="仿宋"/>
          <w:snapToGrid w:val="0"/>
          <w:color w:val="000000"/>
          <w:spacing w:val="50"/>
          <w:kern w:val="0"/>
          <w:sz w:val="30"/>
          <w:szCs w:val="30"/>
          <w:lang w:val="en-US" w:eastAsia="zh-CN"/>
        </w:rPr>
        <w:t>一</w:t>
      </w:r>
      <w:r>
        <w:rPr>
          <w:rFonts w:hint="eastAsia" w:ascii="仿宋" w:hAnsi="仿宋" w:eastAsia="仿宋" w:cs="仿宋"/>
          <w:snapToGrid w:val="0"/>
          <w:color w:val="000000"/>
          <w:spacing w:val="50"/>
          <w:kern w:val="0"/>
          <w:sz w:val="30"/>
          <w:szCs w:val="30"/>
          <w:lang w:eastAsia="zh-CN"/>
        </w:rPr>
        <w:t>）</w:t>
      </w:r>
      <w:r>
        <w:rPr>
          <w:rFonts w:hint="eastAsia" w:ascii="仿宋" w:hAnsi="仿宋" w:eastAsia="仿宋" w:cs="仿宋"/>
          <w:snapToGrid w:val="0"/>
          <w:color w:val="000000"/>
          <w:spacing w:val="50"/>
          <w:kern w:val="0"/>
          <w:sz w:val="30"/>
          <w:szCs w:val="30"/>
          <w:lang w:val="en-US" w:eastAsia="zh-CN"/>
        </w:rPr>
        <w:t>固定资产管理执行有待完善</w:t>
      </w:r>
      <w:bookmarkEnd w:id="180"/>
      <w:bookmarkEnd w:id="181"/>
      <w:bookmarkEnd w:id="182"/>
      <w:bookmarkEnd w:id="183"/>
      <w:bookmarkEnd w:id="184"/>
      <w:bookmarkEnd w:id="185"/>
      <w:bookmarkEnd w:id="186"/>
      <w:bookmarkEnd w:id="187"/>
      <w:bookmarkEnd w:id="188"/>
      <w:bookmarkEnd w:id="189"/>
    </w:p>
    <w:p w14:paraId="3BC92B2E">
      <w:pPr>
        <w:pStyle w:val="2"/>
        <w:spacing w:before="0" w:beforeLines="0" w:line="360" w:lineRule="auto"/>
        <w:ind w:left="0" w:firstLine="600" w:firstLineChars="200"/>
        <w:jc w:val="both"/>
        <w:rPr>
          <w:rFonts w:hint="eastAsia" w:ascii="仿宋" w:hAnsi="仿宋" w:eastAsia="仿宋" w:cs="仿宋"/>
          <w:snapToGrid w:val="0"/>
          <w:color w:val="000000"/>
          <w:sz w:val="30"/>
          <w:szCs w:val="30"/>
          <w:lang w:val="en-US" w:eastAsia="zh-CN"/>
        </w:rPr>
      </w:pPr>
      <w:r>
        <w:rPr>
          <w:rFonts w:hint="eastAsia" w:ascii="仿宋" w:hAnsi="仿宋" w:eastAsia="仿宋" w:cs="仿宋"/>
          <w:snapToGrid w:val="0"/>
          <w:color w:val="000000"/>
          <w:sz w:val="30"/>
          <w:szCs w:val="30"/>
          <w:lang w:val="en-US" w:eastAsia="zh-CN"/>
        </w:rPr>
        <w:t>市旅游形象推广中心在构建固定资产管理体系时，确已制定了详尽的管理办法，其中《第五章资产的日常管理和清查》明确规定了每年年末需对国有资产进行全面盘点与清查。然而，在实际操作中，该中心却未能严格遵循此项规定，导致年度资产盘点与清查工作未能如期进行。尽管从固定资产台账的数据来看，其资产总量并不庞大，但缺乏规范的盘点流程，会不利于资产管理的精准性与有效性。</w:t>
      </w:r>
    </w:p>
    <w:bookmarkEnd w:id="190"/>
    <w:p w14:paraId="6254F708">
      <w:pPr>
        <w:pStyle w:val="2"/>
        <w:keepNext w:val="0"/>
        <w:keepLines w:val="0"/>
        <w:pageBreakBefore w:val="0"/>
        <w:widowControl w:val="0"/>
        <w:kinsoku/>
        <w:wordWrap/>
        <w:overflowPunct/>
        <w:topLinePunct w:val="0"/>
        <w:autoSpaceDE/>
        <w:autoSpaceDN/>
        <w:bidi w:val="0"/>
        <w:adjustRightInd/>
        <w:snapToGrid/>
        <w:spacing w:before="0" w:beforeLines="0" w:after="0" w:line="360" w:lineRule="auto"/>
        <w:ind w:left="0" w:right="0" w:firstLine="800" w:firstLineChars="200"/>
        <w:jc w:val="both"/>
        <w:textAlignment w:val="auto"/>
        <w:outlineLvl w:val="1"/>
        <w:rPr>
          <w:rFonts w:hint="eastAsia" w:ascii="仿宋" w:hAnsi="仿宋" w:eastAsia="仿宋" w:cs="仿宋"/>
          <w:snapToGrid w:val="0"/>
          <w:color w:val="000000"/>
          <w:spacing w:val="50"/>
          <w:kern w:val="0"/>
          <w:sz w:val="30"/>
          <w:szCs w:val="30"/>
        </w:rPr>
      </w:pPr>
      <w:bookmarkStart w:id="191" w:name="（二）单位工作评价机制有待完善"/>
      <w:bookmarkEnd w:id="191"/>
      <w:bookmarkStart w:id="192" w:name="_Toc1331243370"/>
      <w:bookmarkStart w:id="193" w:name="_Toc1906990580"/>
      <w:bookmarkStart w:id="194" w:name="_Toc1594150870"/>
      <w:bookmarkStart w:id="195" w:name="_Toc1437603652"/>
      <w:bookmarkStart w:id="196" w:name="_Toc668520869"/>
      <w:bookmarkStart w:id="197" w:name="_Toc1113482958"/>
      <w:bookmarkStart w:id="198" w:name="_Toc352727832"/>
      <w:bookmarkStart w:id="199" w:name="_Toc1649127878"/>
      <w:bookmarkStart w:id="200" w:name="_Toc288878907"/>
      <w:bookmarkStart w:id="201" w:name="_Toc1033222484"/>
      <w:bookmarkStart w:id="202" w:name="_Toc2266"/>
      <w:r>
        <w:rPr>
          <w:rFonts w:hint="eastAsia" w:ascii="仿宋" w:hAnsi="仿宋" w:eastAsia="仿宋" w:cs="仿宋"/>
          <w:snapToGrid w:val="0"/>
          <w:color w:val="000000"/>
          <w:spacing w:val="50"/>
          <w:kern w:val="0"/>
          <w:sz w:val="30"/>
          <w:szCs w:val="30"/>
        </w:rPr>
        <w:t>（二）</w:t>
      </w:r>
      <w:r>
        <w:rPr>
          <w:rFonts w:hint="eastAsia" w:ascii="仿宋" w:hAnsi="仿宋" w:eastAsia="仿宋" w:cs="仿宋"/>
          <w:snapToGrid w:val="0"/>
          <w:color w:val="000000"/>
          <w:spacing w:val="50"/>
          <w:kern w:val="0"/>
          <w:sz w:val="30"/>
          <w:szCs w:val="30"/>
          <w:lang w:val="en-US" w:eastAsia="zh-CN"/>
        </w:rPr>
        <w:t>满意度调查覆盖面与频率亟待加强</w:t>
      </w:r>
      <w:bookmarkEnd w:id="192"/>
      <w:bookmarkEnd w:id="193"/>
    </w:p>
    <w:bookmarkEnd w:id="194"/>
    <w:bookmarkEnd w:id="195"/>
    <w:bookmarkEnd w:id="196"/>
    <w:bookmarkEnd w:id="197"/>
    <w:bookmarkEnd w:id="198"/>
    <w:bookmarkEnd w:id="199"/>
    <w:bookmarkEnd w:id="200"/>
    <w:bookmarkEnd w:id="201"/>
    <w:bookmarkEnd w:id="202"/>
    <w:p w14:paraId="54AFA2B2">
      <w:pPr>
        <w:pStyle w:val="2"/>
        <w:keepNext w:val="0"/>
        <w:keepLines w:val="0"/>
        <w:pageBreakBefore w:val="0"/>
        <w:widowControl w:val="0"/>
        <w:kinsoku/>
        <w:wordWrap/>
        <w:overflowPunct/>
        <w:topLinePunct w:val="0"/>
        <w:autoSpaceDE w:val="0"/>
        <w:autoSpaceDN w:val="0"/>
        <w:bidi w:val="0"/>
        <w:adjustRightInd/>
        <w:snapToGrid/>
        <w:spacing w:before="0" w:beforeLines="0" w:line="360" w:lineRule="auto"/>
        <w:ind w:left="0" w:leftChars="0" w:right="0" w:rightChars="0" w:firstLine="600" w:firstLineChars="200"/>
        <w:jc w:val="both"/>
        <w:textAlignment w:val="auto"/>
        <w:rPr>
          <w:rFonts w:hint="eastAsia" w:ascii="仿宋" w:hAnsi="仿宋" w:eastAsia="仿宋" w:cs="仿宋"/>
          <w:snapToGrid w:val="0"/>
          <w:color w:val="000000"/>
          <w:sz w:val="30"/>
          <w:szCs w:val="30"/>
          <w:lang w:val="en-US" w:eastAsia="zh-CN" w:bidi="ar-SA"/>
        </w:rPr>
      </w:pPr>
      <w:r>
        <w:rPr>
          <w:rFonts w:hint="eastAsia" w:ascii="仿宋" w:hAnsi="仿宋" w:eastAsia="仿宋" w:cs="仿宋"/>
          <w:snapToGrid w:val="0"/>
          <w:color w:val="000000"/>
          <w:sz w:val="30"/>
          <w:szCs w:val="30"/>
          <w:lang w:val="en-US" w:eastAsia="zh-CN" w:bidi="ar-SA"/>
        </w:rPr>
        <w:t>市旅游形象推广中心的服务对象范围广泛，其核心价值在于积极推广南京的文化旅游产品及城市形象，这对于南京的旅游产业发展与城市品牌建设具有深远的影响。但在满意度调查方面，其所提供的数据量相对较少，仅收录了8条反馈，且这些反馈的时间点主要集中在2023年9月2日至9月4日这一短暂期间内，反映了其调查的样本人群覆盖率不足和调查频率的偏低的问题。</w:t>
      </w:r>
    </w:p>
    <w:p w14:paraId="0F8694AC">
      <w:pPr>
        <w:widowControl/>
        <w:kinsoku w:val="0"/>
        <w:adjustRightInd w:val="0"/>
        <w:snapToGrid w:val="0"/>
        <w:spacing w:before="0" w:beforeLines="0" w:after="0" w:line="360" w:lineRule="auto"/>
        <w:ind w:left="0" w:right="0" w:firstLine="636" w:firstLineChars="200"/>
        <w:jc w:val="both"/>
        <w:textAlignment w:val="baseline"/>
        <w:outlineLvl w:val="9"/>
        <w:rPr>
          <w:rFonts w:hint="eastAsia" w:ascii="仿宋" w:hAnsi="仿宋" w:eastAsia="仿宋" w:cs="仿宋"/>
          <w:snapToGrid w:val="0"/>
          <w:color w:val="000000"/>
          <w:spacing w:val="9"/>
          <w:sz w:val="30"/>
          <w:szCs w:val="30"/>
          <w:lang w:val="en-US" w:eastAsia="zh-CN"/>
          <w14:textOutline w14:w="5791" w14:cap="flat" w14:cmpd="sng" w14:algn="ctr">
            <w14:solidFill>
              <w14:srgbClr w14:val="000000"/>
            </w14:solidFill>
            <w14:prstDash w14:val="solid"/>
            <w14:miter w14:val="0"/>
          </w14:textOutline>
        </w:rPr>
      </w:pPr>
      <w:bookmarkStart w:id="203" w:name="五、有关建议"/>
      <w:bookmarkEnd w:id="203"/>
      <w:bookmarkStart w:id="204" w:name="_Toc24767"/>
    </w:p>
    <w:p w14:paraId="2544DA6A">
      <w:pPr>
        <w:widowControl/>
        <w:kinsoku w:val="0"/>
        <w:adjustRightInd w:val="0"/>
        <w:snapToGrid w:val="0"/>
        <w:spacing w:before="0" w:beforeLines="0" w:after="0" w:line="360" w:lineRule="auto"/>
        <w:ind w:left="0" w:right="0" w:firstLine="636" w:firstLineChars="200"/>
        <w:jc w:val="both"/>
        <w:textAlignment w:val="baseline"/>
        <w:outlineLvl w:val="0"/>
        <w:rPr>
          <w:rFonts w:hint="eastAsia" w:ascii="仿宋" w:hAnsi="仿宋" w:eastAsia="仿宋" w:cs="仿宋"/>
          <w:snapToGrid w:val="0"/>
          <w:color w:val="000000"/>
          <w:spacing w:val="9"/>
          <w:sz w:val="30"/>
          <w:szCs w:val="30"/>
          <w:lang w:val="en-US" w:eastAsia="zh-CN"/>
          <w14:textOutline w14:w="5791" w14:cap="flat" w14:cmpd="sng" w14:algn="ctr">
            <w14:solidFill>
              <w14:srgbClr w14:val="000000"/>
            </w14:solidFill>
            <w14:prstDash w14:val="solid"/>
            <w14:miter w14:val="0"/>
          </w14:textOutline>
        </w:rPr>
      </w:pPr>
      <w:bookmarkStart w:id="205" w:name="_Toc1468297364"/>
      <w:bookmarkStart w:id="206" w:name="_Toc1135575148"/>
      <w:bookmarkStart w:id="207" w:name="_Toc887692118"/>
      <w:bookmarkStart w:id="208" w:name="_Toc1744730232"/>
      <w:bookmarkStart w:id="209" w:name="_Toc1874747729"/>
      <w:bookmarkStart w:id="210" w:name="_Toc1722685144"/>
      <w:bookmarkStart w:id="211" w:name="_Toc817518946"/>
      <w:bookmarkStart w:id="212" w:name="_Toc1241806704"/>
      <w:bookmarkStart w:id="213" w:name="_Toc466066767"/>
      <w:bookmarkStart w:id="214" w:name="_Toc195804179"/>
      <w:r>
        <w:rPr>
          <w:rFonts w:hint="eastAsia" w:ascii="仿宋" w:hAnsi="仿宋" w:eastAsia="仿宋" w:cs="仿宋"/>
          <w:snapToGrid w:val="0"/>
          <w:color w:val="000000"/>
          <w:spacing w:val="9"/>
          <w:sz w:val="30"/>
          <w:szCs w:val="30"/>
          <w:lang w:val="en-US" w:eastAsia="zh-CN"/>
          <w14:textOutline w14:w="5791" w14:cap="flat" w14:cmpd="sng" w14:algn="ctr">
            <w14:solidFill>
              <w14:srgbClr w14:val="000000"/>
            </w14:solidFill>
            <w14:prstDash w14:val="solid"/>
            <w14:miter w14:val="0"/>
          </w14:textOutline>
        </w:rPr>
        <w:t>五、有关建议</w:t>
      </w:r>
      <w:bookmarkEnd w:id="204"/>
      <w:bookmarkEnd w:id="205"/>
      <w:bookmarkEnd w:id="206"/>
      <w:bookmarkEnd w:id="207"/>
      <w:bookmarkEnd w:id="208"/>
      <w:bookmarkEnd w:id="209"/>
      <w:bookmarkEnd w:id="210"/>
      <w:bookmarkEnd w:id="211"/>
      <w:bookmarkEnd w:id="212"/>
      <w:bookmarkEnd w:id="213"/>
      <w:bookmarkEnd w:id="214"/>
    </w:p>
    <w:p w14:paraId="4B8B93DF">
      <w:pPr>
        <w:pStyle w:val="2"/>
        <w:keepNext w:val="0"/>
        <w:keepLines w:val="0"/>
        <w:pageBreakBefore w:val="0"/>
        <w:widowControl w:val="0"/>
        <w:kinsoku/>
        <w:wordWrap/>
        <w:overflowPunct/>
        <w:topLinePunct w:val="0"/>
        <w:autoSpaceDE w:val="0"/>
        <w:autoSpaceDN w:val="0"/>
        <w:bidi w:val="0"/>
        <w:adjustRightInd/>
        <w:snapToGrid/>
        <w:spacing w:before="0" w:beforeLines="0" w:line="360" w:lineRule="auto"/>
        <w:ind w:left="0" w:leftChars="0" w:right="0" w:rightChars="0" w:firstLine="600" w:firstLineChars="200"/>
        <w:jc w:val="both"/>
        <w:textAlignment w:val="auto"/>
        <w:outlineLvl w:val="1"/>
        <w:rPr>
          <w:rFonts w:hint="eastAsia" w:ascii="仿宋" w:hAnsi="仿宋" w:eastAsia="仿宋" w:cs="仿宋"/>
          <w:snapToGrid w:val="0"/>
          <w:color w:val="000000"/>
          <w:sz w:val="30"/>
          <w:szCs w:val="30"/>
          <w:lang w:val="en-US" w:eastAsia="zh-CN" w:bidi="ar-SA"/>
        </w:rPr>
      </w:pPr>
      <w:bookmarkStart w:id="215" w:name="（一）建立健全内部控制制度"/>
      <w:bookmarkEnd w:id="215"/>
      <w:bookmarkStart w:id="216" w:name="_Toc1005012519"/>
      <w:bookmarkStart w:id="217" w:name="_Toc939209071"/>
      <w:bookmarkStart w:id="218" w:name="_Toc924341547"/>
      <w:bookmarkStart w:id="219" w:name="_Toc1939293086"/>
      <w:bookmarkStart w:id="220" w:name="_Toc1799192582"/>
      <w:bookmarkStart w:id="221" w:name="_Toc794686354"/>
      <w:bookmarkStart w:id="222" w:name="_Toc935889249"/>
      <w:bookmarkStart w:id="223" w:name="_Toc872531517"/>
      <w:bookmarkStart w:id="224" w:name="_Toc1311292360"/>
      <w:bookmarkStart w:id="225" w:name="_Toc440551916"/>
      <w:bookmarkStart w:id="226" w:name="_Toc2075"/>
      <w:r>
        <w:rPr>
          <w:rFonts w:hint="eastAsia" w:ascii="仿宋" w:hAnsi="仿宋" w:eastAsia="仿宋" w:cs="仿宋"/>
          <w:snapToGrid w:val="0"/>
          <w:color w:val="000000"/>
          <w:sz w:val="30"/>
          <w:szCs w:val="30"/>
          <w:lang w:val="en-US" w:eastAsia="zh-CN" w:bidi="ar-SA"/>
        </w:rPr>
        <w:t>（一）加强固定资产盘点与清查，提升管理精准性</w:t>
      </w:r>
      <w:bookmarkEnd w:id="216"/>
      <w:bookmarkEnd w:id="217"/>
      <w:bookmarkEnd w:id="218"/>
      <w:bookmarkEnd w:id="219"/>
      <w:bookmarkEnd w:id="220"/>
      <w:bookmarkEnd w:id="221"/>
      <w:bookmarkEnd w:id="222"/>
      <w:bookmarkEnd w:id="223"/>
      <w:bookmarkEnd w:id="224"/>
      <w:bookmarkEnd w:id="225"/>
    </w:p>
    <w:p w14:paraId="7B99FB0E">
      <w:pPr>
        <w:pStyle w:val="2"/>
        <w:keepNext w:val="0"/>
        <w:keepLines w:val="0"/>
        <w:pageBreakBefore w:val="0"/>
        <w:widowControl w:val="0"/>
        <w:kinsoku/>
        <w:wordWrap/>
        <w:overflowPunct/>
        <w:topLinePunct w:val="0"/>
        <w:autoSpaceDE w:val="0"/>
        <w:autoSpaceDN w:val="0"/>
        <w:bidi w:val="0"/>
        <w:adjustRightInd/>
        <w:snapToGrid/>
        <w:spacing w:before="0" w:beforeLines="0" w:line="360" w:lineRule="auto"/>
        <w:ind w:left="0" w:leftChars="0" w:right="0" w:rightChars="0" w:firstLine="600" w:firstLineChars="200"/>
        <w:jc w:val="both"/>
        <w:textAlignment w:val="auto"/>
        <w:outlineLvl w:val="9"/>
        <w:rPr>
          <w:rFonts w:hint="eastAsia" w:ascii="仿宋" w:hAnsi="仿宋" w:eastAsia="仿宋" w:cs="仿宋"/>
          <w:snapToGrid w:val="0"/>
          <w:color w:val="000000"/>
          <w:sz w:val="30"/>
          <w:szCs w:val="30"/>
          <w:lang w:val="en-US" w:eastAsia="zh-CN" w:bidi="ar-SA"/>
        </w:rPr>
      </w:pPr>
      <w:r>
        <w:rPr>
          <w:rFonts w:hint="eastAsia" w:ascii="仿宋" w:hAnsi="仿宋" w:eastAsia="仿宋" w:cs="仿宋"/>
          <w:snapToGrid w:val="0"/>
          <w:color w:val="000000"/>
          <w:sz w:val="30"/>
          <w:szCs w:val="30"/>
          <w:lang w:val="en-US" w:eastAsia="zh-CN" w:bidi="ar-SA"/>
        </w:rPr>
        <w:t>市旅游形象推广中心应加强固定资产盘点与清查的执行力度，确保每年年末的国有资产全面盘点与清查工作能够如期进行。同时，应建立规范的盘点流程，包括盘点前的准备工作、盘点过程中的详细记录以及盘点后的数据分析等，以提升资产管理的精准性与有效性。</w:t>
      </w:r>
    </w:p>
    <w:p w14:paraId="7FCC35C5">
      <w:pPr>
        <w:pStyle w:val="2"/>
        <w:keepNext w:val="0"/>
        <w:keepLines w:val="0"/>
        <w:pageBreakBefore w:val="0"/>
        <w:widowControl w:val="0"/>
        <w:kinsoku/>
        <w:wordWrap/>
        <w:overflowPunct/>
        <w:topLinePunct w:val="0"/>
        <w:autoSpaceDE w:val="0"/>
        <w:autoSpaceDN w:val="0"/>
        <w:bidi w:val="0"/>
        <w:adjustRightInd/>
        <w:snapToGrid/>
        <w:spacing w:before="0" w:beforeLines="0" w:line="360" w:lineRule="auto"/>
        <w:ind w:left="0" w:leftChars="0" w:right="0" w:rightChars="0" w:firstLine="600" w:firstLineChars="200"/>
        <w:jc w:val="both"/>
        <w:textAlignment w:val="auto"/>
        <w:outlineLvl w:val="1"/>
        <w:rPr>
          <w:rFonts w:hint="eastAsia" w:ascii="仿宋" w:hAnsi="仿宋" w:eastAsia="仿宋" w:cs="仿宋"/>
          <w:snapToGrid w:val="0"/>
          <w:color w:val="000000"/>
          <w:sz w:val="30"/>
          <w:szCs w:val="30"/>
          <w:lang w:val="en-US" w:eastAsia="zh-CN" w:bidi="ar-SA"/>
        </w:rPr>
      </w:pPr>
      <w:bookmarkStart w:id="227" w:name="_Toc1286523178"/>
      <w:bookmarkStart w:id="228" w:name="_Toc312492267"/>
      <w:bookmarkStart w:id="229" w:name="_Toc1413509006"/>
      <w:bookmarkStart w:id="230" w:name="_Toc1320377315"/>
      <w:bookmarkStart w:id="231" w:name="_Toc1618864503"/>
      <w:bookmarkStart w:id="232" w:name="_Toc1339585883"/>
      <w:bookmarkStart w:id="233" w:name="_Toc1092750985"/>
      <w:bookmarkStart w:id="234" w:name="_Toc511678031"/>
      <w:bookmarkStart w:id="235" w:name="_Toc1282050847"/>
      <w:bookmarkStart w:id="236" w:name="_Toc1979921003"/>
      <w:r>
        <w:rPr>
          <w:rFonts w:hint="eastAsia" w:ascii="仿宋" w:hAnsi="仿宋" w:eastAsia="仿宋" w:cs="仿宋"/>
          <w:snapToGrid w:val="0"/>
          <w:color w:val="000000"/>
          <w:sz w:val="30"/>
          <w:szCs w:val="30"/>
          <w:lang w:val="en-US" w:eastAsia="zh-CN" w:bidi="ar-SA"/>
        </w:rPr>
        <w:t>（二）优化工作评价机制，提高满意度调查覆盖率与频率</w:t>
      </w:r>
      <w:bookmarkEnd w:id="227"/>
      <w:bookmarkEnd w:id="228"/>
      <w:bookmarkEnd w:id="229"/>
      <w:bookmarkEnd w:id="230"/>
      <w:bookmarkEnd w:id="231"/>
      <w:bookmarkEnd w:id="232"/>
      <w:bookmarkEnd w:id="233"/>
      <w:bookmarkEnd w:id="234"/>
      <w:bookmarkEnd w:id="235"/>
      <w:bookmarkEnd w:id="236"/>
    </w:p>
    <w:p w14:paraId="1F4ECC6D">
      <w:pPr>
        <w:pStyle w:val="2"/>
        <w:keepNext w:val="0"/>
        <w:keepLines w:val="0"/>
        <w:pageBreakBefore w:val="0"/>
        <w:widowControl w:val="0"/>
        <w:kinsoku/>
        <w:wordWrap/>
        <w:overflowPunct/>
        <w:topLinePunct w:val="0"/>
        <w:autoSpaceDE w:val="0"/>
        <w:autoSpaceDN w:val="0"/>
        <w:bidi w:val="0"/>
        <w:adjustRightInd/>
        <w:snapToGrid/>
        <w:spacing w:before="0" w:beforeLines="0" w:line="360" w:lineRule="auto"/>
        <w:ind w:left="0" w:leftChars="0" w:right="0" w:rightChars="0" w:firstLine="600" w:firstLineChars="200"/>
        <w:jc w:val="both"/>
        <w:textAlignment w:val="auto"/>
        <w:outlineLvl w:val="9"/>
        <w:rPr>
          <w:rFonts w:hint="eastAsia" w:ascii="仿宋" w:hAnsi="仿宋" w:eastAsia="仿宋" w:cs="仿宋"/>
          <w:snapToGrid w:val="0"/>
          <w:color w:val="000000"/>
          <w:sz w:val="30"/>
          <w:szCs w:val="30"/>
          <w:lang w:val="en-US" w:eastAsia="zh-CN" w:bidi="ar-SA"/>
        </w:rPr>
      </w:pPr>
      <w:r>
        <w:rPr>
          <w:rFonts w:hint="eastAsia" w:ascii="仿宋" w:hAnsi="仿宋" w:eastAsia="仿宋" w:cs="仿宋"/>
          <w:snapToGrid w:val="0"/>
          <w:color w:val="000000"/>
          <w:sz w:val="30"/>
          <w:szCs w:val="30"/>
          <w:lang w:val="en-US" w:eastAsia="zh-CN" w:bidi="ar-SA"/>
        </w:rPr>
        <w:t>建议市旅游形象推广中心优化工作评价机制，提高满意度调查的覆盖率与频率。具体而言，可以扩大调查样本的覆盖范围，包括不同年龄段、不同职业、不同地区的游客群体，以获取更加全面和客观的反馈。同时，应增加调查的频率，例如每季度或每半年进行一次满意度调查，以及时了解游客的需求和意见，为改进服务质量提供有力支持。</w:t>
      </w:r>
    </w:p>
    <w:bookmarkEnd w:id="226"/>
    <w:p w14:paraId="4B1E36E6">
      <w:pPr>
        <w:keepNext w:val="0"/>
        <w:keepLines w:val="0"/>
        <w:pageBreakBefore w:val="0"/>
        <w:widowControl/>
        <w:kinsoku w:val="0"/>
        <w:wordWrap/>
        <w:overflowPunct/>
        <w:topLinePunct w:val="0"/>
        <w:autoSpaceDE w:val="0"/>
        <w:autoSpaceDN w:val="0"/>
        <w:bidi w:val="0"/>
        <w:adjustRightInd w:val="0"/>
        <w:snapToGrid w:val="0"/>
        <w:spacing w:before="0" w:beforeLines="0" w:after="0" w:line="360" w:lineRule="auto"/>
        <w:ind w:left="0" w:right="0" w:firstLine="636" w:firstLineChars="200"/>
        <w:jc w:val="both"/>
        <w:textAlignment w:val="baseline"/>
        <w:outlineLvl w:val="9"/>
        <w:rPr>
          <w:rFonts w:hint="eastAsia" w:ascii="仿宋" w:hAnsi="仿宋" w:eastAsia="仿宋" w:cs="仿宋"/>
          <w:snapToGrid w:val="0"/>
          <w:color w:val="000000"/>
          <w:spacing w:val="9"/>
          <w:sz w:val="30"/>
          <w:szCs w:val="30"/>
          <w:lang w:val="en-US" w:eastAsia="zh-CN"/>
          <w14:textOutline w14:w="5791" w14:cap="flat" w14:cmpd="sng" w14:algn="ctr">
            <w14:solidFill>
              <w14:srgbClr w14:val="000000"/>
            </w14:solidFill>
            <w14:prstDash w14:val="solid"/>
            <w14:miter w14:val="0"/>
          </w14:textOutline>
        </w:rPr>
      </w:pPr>
    </w:p>
    <w:p w14:paraId="5BD48AC0">
      <w:pPr>
        <w:keepNext w:val="0"/>
        <w:keepLines w:val="0"/>
        <w:pageBreakBefore w:val="0"/>
        <w:widowControl/>
        <w:kinsoku w:val="0"/>
        <w:wordWrap/>
        <w:overflowPunct/>
        <w:topLinePunct w:val="0"/>
        <w:autoSpaceDE w:val="0"/>
        <w:autoSpaceDN w:val="0"/>
        <w:bidi w:val="0"/>
        <w:adjustRightInd w:val="0"/>
        <w:snapToGrid w:val="0"/>
        <w:spacing w:before="0" w:beforeLines="0" w:after="0" w:line="360" w:lineRule="auto"/>
        <w:ind w:left="0" w:right="0" w:firstLine="636" w:firstLineChars="200"/>
        <w:jc w:val="both"/>
        <w:textAlignment w:val="baseline"/>
        <w:outlineLvl w:val="0"/>
        <w:rPr>
          <w:rFonts w:hint="eastAsia" w:ascii="仿宋" w:hAnsi="仿宋" w:eastAsia="仿宋" w:cs="仿宋"/>
          <w:snapToGrid w:val="0"/>
          <w:color w:val="000000"/>
          <w:spacing w:val="9"/>
          <w:sz w:val="30"/>
          <w:szCs w:val="30"/>
          <w:lang w:val="en-US" w:eastAsia="zh-CN"/>
          <w14:textOutline w14:w="5791" w14:cap="flat" w14:cmpd="sng" w14:algn="ctr">
            <w14:solidFill>
              <w14:srgbClr w14:val="000000"/>
            </w14:solidFill>
            <w14:prstDash w14:val="solid"/>
            <w14:miter w14:val="0"/>
          </w14:textOutline>
        </w:rPr>
      </w:pPr>
      <w:bookmarkStart w:id="237" w:name="_Toc8677"/>
      <w:bookmarkStart w:id="238" w:name="_Toc1273187156"/>
      <w:bookmarkStart w:id="239" w:name="_Toc201380433"/>
      <w:bookmarkStart w:id="240" w:name="_Toc1785378078"/>
      <w:bookmarkStart w:id="241" w:name="_Toc585655751"/>
      <w:bookmarkStart w:id="242" w:name="_Toc1248144429"/>
      <w:bookmarkStart w:id="243" w:name="_Toc1725155178"/>
      <w:bookmarkStart w:id="244" w:name="_Toc1633008754"/>
      <w:bookmarkStart w:id="245" w:name="_Toc1460014554"/>
      <w:bookmarkStart w:id="246" w:name="_Toc1729694650"/>
      <w:bookmarkStart w:id="247" w:name="_Toc1381760728"/>
      <w:r>
        <w:rPr>
          <w:rFonts w:hint="eastAsia" w:ascii="仿宋" w:hAnsi="仿宋" w:eastAsia="仿宋" w:cs="仿宋"/>
          <w:snapToGrid w:val="0"/>
          <w:color w:val="000000"/>
          <w:spacing w:val="9"/>
          <w:sz w:val="30"/>
          <w:szCs w:val="30"/>
          <w:lang w:val="en-US" w:eastAsia="zh-CN"/>
          <w14:textOutline w14:w="5791" w14:cap="flat" w14:cmpd="sng" w14:algn="ctr">
            <w14:solidFill>
              <w14:srgbClr w14:val="000000"/>
            </w14:solidFill>
            <w14:prstDash w14:val="solid"/>
            <w14:miter w14:val="0"/>
          </w14:textOutline>
        </w:rPr>
        <w:t>六、评价工作开展情况</w:t>
      </w:r>
      <w:bookmarkEnd w:id="237"/>
      <w:bookmarkEnd w:id="238"/>
      <w:bookmarkEnd w:id="239"/>
      <w:bookmarkEnd w:id="240"/>
      <w:bookmarkEnd w:id="241"/>
      <w:bookmarkEnd w:id="242"/>
      <w:bookmarkEnd w:id="243"/>
      <w:bookmarkEnd w:id="244"/>
      <w:bookmarkEnd w:id="245"/>
      <w:bookmarkEnd w:id="246"/>
      <w:bookmarkEnd w:id="247"/>
    </w:p>
    <w:p w14:paraId="18CBDD63">
      <w:pPr>
        <w:pStyle w:val="2"/>
        <w:keepNext w:val="0"/>
        <w:keepLines w:val="0"/>
        <w:pageBreakBefore w:val="0"/>
        <w:widowControl w:val="0"/>
        <w:kinsoku/>
        <w:wordWrap/>
        <w:overflowPunct/>
        <w:topLinePunct w:val="0"/>
        <w:autoSpaceDE w:val="0"/>
        <w:autoSpaceDN w:val="0"/>
        <w:bidi w:val="0"/>
        <w:adjustRightInd/>
        <w:snapToGrid/>
        <w:spacing w:before="0" w:beforeLines="0" w:line="360" w:lineRule="auto"/>
        <w:ind w:left="0" w:leftChars="0" w:right="0" w:rightChars="0" w:firstLine="600" w:firstLineChars="200"/>
        <w:jc w:val="both"/>
        <w:textAlignment w:val="auto"/>
        <w:outlineLvl w:val="1"/>
        <w:rPr>
          <w:rFonts w:hint="eastAsia" w:ascii="仿宋" w:hAnsi="仿宋" w:eastAsia="仿宋" w:cs="仿宋"/>
          <w:snapToGrid w:val="0"/>
          <w:color w:val="000000"/>
          <w:sz w:val="30"/>
          <w:szCs w:val="30"/>
          <w:lang w:val="en-US" w:eastAsia="zh-CN" w:bidi="ar-SA"/>
        </w:rPr>
      </w:pPr>
      <w:bookmarkStart w:id="248" w:name="（一）基本情况"/>
      <w:bookmarkEnd w:id="248"/>
      <w:bookmarkStart w:id="249" w:name="_Toc491853111"/>
      <w:bookmarkStart w:id="250" w:name="_Toc364396838"/>
      <w:bookmarkStart w:id="251" w:name="_Toc1316458456"/>
      <w:bookmarkStart w:id="252" w:name="_Toc1506358499"/>
      <w:bookmarkStart w:id="253" w:name="_Toc929472184"/>
      <w:bookmarkStart w:id="254" w:name="_Toc943154307"/>
      <w:bookmarkStart w:id="255" w:name="_Toc166709759"/>
      <w:bookmarkStart w:id="256" w:name="_Toc8410"/>
      <w:bookmarkStart w:id="257" w:name="_Toc60357415"/>
      <w:bookmarkStart w:id="258" w:name="_Toc1137119818"/>
      <w:bookmarkStart w:id="259" w:name="_Toc1198652856"/>
      <w:r>
        <w:rPr>
          <w:rFonts w:hint="eastAsia" w:ascii="仿宋" w:hAnsi="仿宋" w:eastAsia="仿宋" w:cs="仿宋"/>
          <w:snapToGrid w:val="0"/>
          <w:color w:val="000000"/>
          <w:sz w:val="30"/>
          <w:szCs w:val="30"/>
          <w:lang w:val="en-US" w:eastAsia="zh-CN" w:bidi="ar-SA"/>
        </w:rPr>
        <w:t>（一）基本情况</w:t>
      </w:r>
      <w:bookmarkEnd w:id="249"/>
      <w:bookmarkEnd w:id="250"/>
      <w:bookmarkEnd w:id="251"/>
      <w:bookmarkEnd w:id="252"/>
      <w:bookmarkEnd w:id="253"/>
      <w:bookmarkEnd w:id="254"/>
      <w:bookmarkEnd w:id="255"/>
      <w:bookmarkEnd w:id="256"/>
      <w:bookmarkEnd w:id="257"/>
      <w:bookmarkEnd w:id="258"/>
      <w:bookmarkEnd w:id="259"/>
    </w:p>
    <w:p w14:paraId="70A84667">
      <w:pPr>
        <w:pStyle w:val="2"/>
        <w:keepNext w:val="0"/>
        <w:keepLines w:val="0"/>
        <w:pageBreakBefore w:val="0"/>
        <w:widowControl w:val="0"/>
        <w:kinsoku/>
        <w:wordWrap/>
        <w:overflowPunct/>
        <w:topLinePunct w:val="0"/>
        <w:autoSpaceDE w:val="0"/>
        <w:autoSpaceDN w:val="0"/>
        <w:bidi w:val="0"/>
        <w:adjustRightInd/>
        <w:snapToGrid/>
        <w:spacing w:before="0" w:beforeLines="0" w:line="360" w:lineRule="auto"/>
        <w:ind w:left="0" w:leftChars="0" w:right="0" w:rightChars="0" w:firstLine="600" w:firstLineChars="200"/>
        <w:jc w:val="both"/>
        <w:textAlignment w:val="auto"/>
        <w:outlineLvl w:val="2"/>
        <w:rPr>
          <w:rFonts w:hint="eastAsia" w:ascii="仿宋" w:hAnsi="仿宋" w:eastAsia="仿宋" w:cs="仿宋"/>
          <w:snapToGrid w:val="0"/>
          <w:color w:val="000000"/>
          <w:sz w:val="30"/>
          <w:szCs w:val="30"/>
          <w:lang w:val="en-US" w:eastAsia="zh-CN" w:bidi="ar-SA"/>
        </w:rPr>
      </w:pPr>
      <w:r>
        <w:rPr>
          <w:rFonts w:hint="eastAsia" w:ascii="仿宋" w:hAnsi="仿宋" w:eastAsia="仿宋" w:cs="仿宋"/>
          <w:snapToGrid w:val="0"/>
          <w:color w:val="000000"/>
          <w:sz w:val="30"/>
          <w:szCs w:val="30"/>
          <w:lang w:val="en-US" w:eastAsia="zh-CN" w:bidi="ar-SA"/>
        </w:rPr>
        <w:t>1.评价目的</w:t>
      </w:r>
    </w:p>
    <w:p w14:paraId="411BF85D">
      <w:pPr>
        <w:pStyle w:val="2"/>
        <w:keepNext w:val="0"/>
        <w:keepLines w:val="0"/>
        <w:pageBreakBefore w:val="0"/>
        <w:widowControl w:val="0"/>
        <w:kinsoku/>
        <w:wordWrap/>
        <w:overflowPunct/>
        <w:topLinePunct w:val="0"/>
        <w:autoSpaceDE w:val="0"/>
        <w:autoSpaceDN w:val="0"/>
        <w:bidi w:val="0"/>
        <w:adjustRightInd/>
        <w:snapToGrid/>
        <w:spacing w:before="0" w:beforeLines="0" w:line="360" w:lineRule="auto"/>
        <w:ind w:left="0" w:leftChars="0" w:right="0" w:rightChars="0" w:firstLine="600" w:firstLineChars="200"/>
        <w:jc w:val="both"/>
        <w:textAlignment w:val="auto"/>
        <w:rPr>
          <w:rFonts w:hint="eastAsia" w:ascii="仿宋" w:hAnsi="仿宋" w:eastAsia="仿宋" w:cs="仿宋"/>
          <w:snapToGrid w:val="0"/>
          <w:color w:val="000000"/>
          <w:sz w:val="30"/>
          <w:szCs w:val="30"/>
          <w:lang w:val="en-US" w:eastAsia="zh-CN" w:bidi="ar-SA"/>
        </w:rPr>
      </w:pPr>
      <w:r>
        <w:rPr>
          <w:rFonts w:hint="eastAsia" w:ascii="仿宋" w:hAnsi="仿宋" w:eastAsia="仿宋" w:cs="仿宋"/>
          <w:snapToGrid w:val="0"/>
          <w:color w:val="000000"/>
          <w:sz w:val="30"/>
          <w:szCs w:val="30"/>
          <w:lang w:val="en-US" w:eastAsia="zh-CN" w:bidi="ar-SA"/>
        </w:rPr>
        <w:t>整体预算绩效评价是从政府职能出发，根据预算部门设定的部门战略目标，运用科学、合理的绩效评价指标、评价标准和评价方法，对预算部门整体支出的绩效目标完成情况、部门履职情况、预算管理水平进行客观公正的评价。通过部门整体预算绩效评价，能够准确找到市旅游形象推广中心支出管理的强弱项，促进其不断改进和创新已有的管理方式，提高管理效能和管理质量。在评价范围上，不仅包括项目支出，还涉及人员支出和公用经费支出。在评价内容上，整体预算绩效评价关注的不仅是专项资金的使用绩效，同时关注部门全部财政资金的总量安排合理性、资金结构与单位核心职能的匹配关系、资金安排对单位战略目标的支持程度，从更全面的角度为财政专项资金的合理分配提供参考依据。</w:t>
      </w:r>
    </w:p>
    <w:p w14:paraId="0A7E5B83">
      <w:pPr>
        <w:pStyle w:val="2"/>
        <w:keepNext w:val="0"/>
        <w:keepLines w:val="0"/>
        <w:pageBreakBefore w:val="0"/>
        <w:widowControl w:val="0"/>
        <w:kinsoku/>
        <w:wordWrap/>
        <w:overflowPunct/>
        <w:topLinePunct w:val="0"/>
        <w:autoSpaceDE w:val="0"/>
        <w:autoSpaceDN w:val="0"/>
        <w:bidi w:val="0"/>
        <w:adjustRightInd/>
        <w:snapToGrid/>
        <w:spacing w:before="0" w:beforeLines="0" w:line="360" w:lineRule="auto"/>
        <w:ind w:left="0" w:leftChars="0" w:right="0" w:firstLine="574" w:firstLineChars="200"/>
        <w:jc w:val="both"/>
        <w:textAlignment w:val="auto"/>
        <w:rPr>
          <w:rFonts w:hint="eastAsia" w:ascii="仿宋" w:hAnsi="仿宋" w:eastAsia="仿宋" w:cs="仿宋"/>
          <w:spacing w:val="1"/>
          <w:w w:val="95"/>
          <w:sz w:val="30"/>
          <w:szCs w:val="30"/>
          <w:lang w:val="en-US" w:eastAsia="zh-CN" w:bidi="ar-SA"/>
        </w:rPr>
      </w:pPr>
      <w:r>
        <w:rPr>
          <w:rFonts w:hint="eastAsia" w:ascii="仿宋" w:hAnsi="仿宋" w:eastAsia="仿宋" w:cs="仿宋"/>
          <w:spacing w:val="1"/>
          <w:w w:val="95"/>
          <w:sz w:val="30"/>
          <w:szCs w:val="30"/>
          <w:lang w:val="en-US" w:eastAsia="zh-CN" w:bidi="ar-SA"/>
        </w:rPr>
        <w:t>通过对南京市旅游形象推广中心2023年度整体预算进行绩效评价，了解部门财政预算资金使用情况，系统评价财政预算资金在文旅推广工作中所发挥的作用和取得的实际效果，总结文旅推广工作实施、资金管理的经验，分析管理中存在的问题，为完善财政预算资金管理，提高资金使用效益提供重要依据。</w:t>
      </w:r>
    </w:p>
    <w:p w14:paraId="60F254BB">
      <w:pPr>
        <w:pStyle w:val="2"/>
        <w:keepNext w:val="0"/>
        <w:keepLines w:val="0"/>
        <w:pageBreakBefore w:val="0"/>
        <w:widowControl w:val="0"/>
        <w:kinsoku/>
        <w:wordWrap/>
        <w:overflowPunct/>
        <w:topLinePunct w:val="0"/>
        <w:autoSpaceDE w:val="0"/>
        <w:autoSpaceDN w:val="0"/>
        <w:bidi w:val="0"/>
        <w:adjustRightInd/>
        <w:snapToGrid/>
        <w:spacing w:before="0" w:beforeLines="0" w:line="360" w:lineRule="auto"/>
        <w:ind w:left="0" w:leftChars="0" w:right="0" w:firstLine="574" w:firstLineChars="200"/>
        <w:jc w:val="both"/>
        <w:textAlignment w:val="auto"/>
        <w:outlineLvl w:val="2"/>
        <w:rPr>
          <w:rFonts w:hint="eastAsia" w:ascii="仿宋" w:hAnsi="仿宋" w:eastAsia="仿宋" w:cs="仿宋"/>
          <w:spacing w:val="1"/>
          <w:w w:val="95"/>
          <w:sz w:val="30"/>
          <w:szCs w:val="30"/>
          <w:lang w:val="en-US" w:eastAsia="zh-CN" w:bidi="ar-SA"/>
        </w:rPr>
      </w:pPr>
      <w:bookmarkStart w:id="260" w:name="_Toc4813"/>
      <w:r>
        <w:rPr>
          <w:rFonts w:hint="eastAsia" w:ascii="仿宋" w:hAnsi="仿宋" w:eastAsia="仿宋" w:cs="仿宋"/>
          <w:spacing w:val="1"/>
          <w:w w:val="95"/>
          <w:sz w:val="30"/>
          <w:szCs w:val="30"/>
          <w:lang w:val="en-US" w:eastAsia="zh-CN" w:bidi="ar-SA"/>
        </w:rPr>
        <w:t>2.评价依据</w:t>
      </w:r>
      <w:bookmarkEnd w:id="260"/>
    </w:p>
    <w:p w14:paraId="56E339B3">
      <w:pPr>
        <w:pStyle w:val="2"/>
        <w:keepNext w:val="0"/>
        <w:keepLines w:val="0"/>
        <w:pageBreakBefore w:val="0"/>
        <w:widowControl w:val="0"/>
        <w:kinsoku/>
        <w:wordWrap/>
        <w:overflowPunct/>
        <w:topLinePunct w:val="0"/>
        <w:autoSpaceDE w:val="0"/>
        <w:autoSpaceDN w:val="0"/>
        <w:bidi w:val="0"/>
        <w:adjustRightInd/>
        <w:snapToGrid/>
        <w:spacing w:before="0" w:beforeLines="0" w:line="360" w:lineRule="auto"/>
        <w:ind w:left="0" w:leftChars="0" w:right="0" w:firstLine="574" w:firstLineChars="200"/>
        <w:jc w:val="both"/>
        <w:textAlignment w:val="auto"/>
        <w:rPr>
          <w:rFonts w:hint="eastAsia" w:ascii="仿宋" w:hAnsi="仿宋" w:eastAsia="仿宋" w:cs="仿宋"/>
          <w:spacing w:val="1"/>
          <w:w w:val="95"/>
          <w:sz w:val="30"/>
          <w:szCs w:val="30"/>
          <w:lang w:val="en-US" w:eastAsia="zh-CN" w:bidi="ar-SA"/>
        </w:rPr>
      </w:pPr>
      <w:r>
        <w:rPr>
          <w:rFonts w:hint="eastAsia" w:ascii="仿宋" w:hAnsi="仿宋" w:eastAsia="仿宋" w:cs="仿宋"/>
          <w:spacing w:val="1"/>
          <w:w w:val="95"/>
          <w:sz w:val="30"/>
          <w:szCs w:val="30"/>
          <w:lang w:val="en-US" w:eastAsia="zh-CN" w:bidi="ar-SA"/>
        </w:rPr>
        <w:t>法律法规和政策</w:t>
      </w:r>
    </w:p>
    <w:p w14:paraId="3C8D45DE">
      <w:pPr>
        <w:pStyle w:val="2"/>
        <w:keepNext w:val="0"/>
        <w:keepLines w:val="0"/>
        <w:pageBreakBefore w:val="0"/>
        <w:widowControl w:val="0"/>
        <w:kinsoku/>
        <w:wordWrap/>
        <w:overflowPunct/>
        <w:topLinePunct w:val="0"/>
        <w:autoSpaceDE w:val="0"/>
        <w:autoSpaceDN w:val="0"/>
        <w:bidi w:val="0"/>
        <w:adjustRightInd/>
        <w:snapToGrid/>
        <w:spacing w:before="0" w:beforeLines="0" w:line="360" w:lineRule="auto"/>
        <w:ind w:left="0" w:leftChars="0" w:right="0" w:firstLine="574" w:firstLineChars="200"/>
        <w:jc w:val="both"/>
        <w:textAlignment w:val="auto"/>
        <w:rPr>
          <w:rFonts w:hint="eastAsia" w:ascii="仿宋" w:hAnsi="仿宋" w:eastAsia="仿宋" w:cs="仿宋"/>
          <w:spacing w:val="1"/>
          <w:w w:val="95"/>
          <w:sz w:val="30"/>
          <w:szCs w:val="30"/>
          <w:lang w:val="en-US" w:eastAsia="zh-CN" w:bidi="ar-SA"/>
        </w:rPr>
      </w:pPr>
      <w:r>
        <w:rPr>
          <w:rFonts w:hint="eastAsia" w:ascii="仿宋" w:hAnsi="仿宋" w:eastAsia="仿宋" w:cs="仿宋"/>
          <w:spacing w:val="1"/>
          <w:w w:val="95"/>
          <w:sz w:val="30"/>
          <w:szCs w:val="30"/>
          <w:lang w:val="en-US" w:eastAsia="zh-CN" w:bidi="ar-SA"/>
        </w:rPr>
        <w:t>（1）《中华人民共和国预算法》及其实施条例</w:t>
      </w:r>
    </w:p>
    <w:p w14:paraId="4125E0AE">
      <w:pPr>
        <w:pStyle w:val="2"/>
        <w:keepNext w:val="0"/>
        <w:keepLines w:val="0"/>
        <w:pageBreakBefore w:val="0"/>
        <w:widowControl w:val="0"/>
        <w:kinsoku/>
        <w:wordWrap/>
        <w:overflowPunct/>
        <w:topLinePunct w:val="0"/>
        <w:autoSpaceDE w:val="0"/>
        <w:autoSpaceDN w:val="0"/>
        <w:bidi w:val="0"/>
        <w:adjustRightInd/>
        <w:snapToGrid/>
        <w:spacing w:before="0" w:beforeLines="0" w:line="360" w:lineRule="auto"/>
        <w:ind w:left="0" w:leftChars="0" w:right="0" w:firstLine="574" w:firstLineChars="200"/>
        <w:jc w:val="both"/>
        <w:textAlignment w:val="auto"/>
        <w:rPr>
          <w:rFonts w:hint="eastAsia" w:ascii="仿宋" w:hAnsi="仿宋" w:eastAsia="仿宋" w:cs="仿宋"/>
          <w:spacing w:val="1"/>
          <w:w w:val="95"/>
          <w:sz w:val="30"/>
          <w:szCs w:val="30"/>
          <w:lang w:val="en-US" w:eastAsia="zh-CN" w:bidi="ar-SA"/>
        </w:rPr>
      </w:pPr>
      <w:r>
        <w:rPr>
          <w:rFonts w:hint="eastAsia" w:ascii="仿宋" w:hAnsi="仿宋" w:eastAsia="仿宋" w:cs="仿宋"/>
          <w:spacing w:val="1"/>
          <w:w w:val="95"/>
          <w:sz w:val="30"/>
          <w:szCs w:val="30"/>
          <w:lang w:val="en-US" w:eastAsia="zh-CN" w:bidi="ar-SA"/>
        </w:rPr>
        <w:t>（2）中共中央 国务院《关于全面实施预算绩效管理的意见》（中发[2018]34号）</w:t>
      </w:r>
    </w:p>
    <w:p w14:paraId="361F4362">
      <w:pPr>
        <w:pStyle w:val="2"/>
        <w:keepNext w:val="0"/>
        <w:keepLines w:val="0"/>
        <w:pageBreakBefore w:val="0"/>
        <w:widowControl w:val="0"/>
        <w:kinsoku/>
        <w:wordWrap/>
        <w:overflowPunct/>
        <w:topLinePunct w:val="0"/>
        <w:autoSpaceDE w:val="0"/>
        <w:autoSpaceDN w:val="0"/>
        <w:bidi w:val="0"/>
        <w:adjustRightInd/>
        <w:snapToGrid/>
        <w:spacing w:before="0" w:beforeLines="0" w:line="360" w:lineRule="auto"/>
        <w:ind w:left="0" w:leftChars="0" w:right="0" w:firstLine="574" w:firstLineChars="200"/>
        <w:jc w:val="both"/>
        <w:textAlignment w:val="auto"/>
        <w:rPr>
          <w:rFonts w:hint="eastAsia" w:ascii="仿宋" w:hAnsi="仿宋" w:eastAsia="仿宋" w:cs="仿宋"/>
          <w:spacing w:val="1"/>
          <w:w w:val="95"/>
          <w:sz w:val="30"/>
          <w:szCs w:val="30"/>
          <w:lang w:val="en-US" w:eastAsia="zh-CN" w:bidi="ar-SA"/>
        </w:rPr>
      </w:pPr>
      <w:r>
        <w:rPr>
          <w:rFonts w:hint="eastAsia" w:ascii="仿宋" w:hAnsi="仿宋" w:eastAsia="仿宋" w:cs="仿宋"/>
          <w:spacing w:val="1"/>
          <w:w w:val="95"/>
          <w:sz w:val="30"/>
          <w:szCs w:val="30"/>
          <w:lang w:val="en-US" w:eastAsia="zh-CN" w:bidi="ar-SA"/>
        </w:rPr>
        <w:t>（3）中共江苏省委 江苏省人民政府《关于全面实施预算绩效管理的实施意见》（苏发[2019]6号）</w:t>
      </w:r>
    </w:p>
    <w:p w14:paraId="5FF719A5">
      <w:pPr>
        <w:pStyle w:val="2"/>
        <w:keepNext w:val="0"/>
        <w:keepLines w:val="0"/>
        <w:pageBreakBefore w:val="0"/>
        <w:widowControl w:val="0"/>
        <w:kinsoku/>
        <w:wordWrap/>
        <w:overflowPunct/>
        <w:topLinePunct w:val="0"/>
        <w:autoSpaceDE w:val="0"/>
        <w:autoSpaceDN w:val="0"/>
        <w:bidi w:val="0"/>
        <w:adjustRightInd/>
        <w:snapToGrid/>
        <w:spacing w:before="0" w:beforeLines="0" w:line="360" w:lineRule="auto"/>
        <w:ind w:left="0" w:leftChars="0" w:right="0" w:firstLine="574" w:firstLineChars="200"/>
        <w:jc w:val="both"/>
        <w:textAlignment w:val="auto"/>
        <w:rPr>
          <w:rFonts w:hint="eastAsia" w:ascii="仿宋" w:hAnsi="仿宋" w:eastAsia="仿宋" w:cs="仿宋"/>
          <w:spacing w:val="1"/>
          <w:w w:val="95"/>
          <w:sz w:val="30"/>
          <w:szCs w:val="30"/>
          <w:lang w:val="en-US" w:eastAsia="zh-CN" w:bidi="ar-SA"/>
        </w:rPr>
      </w:pPr>
      <w:r>
        <w:rPr>
          <w:rFonts w:hint="eastAsia" w:ascii="仿宋" w:hAnsi="仿宋" w:eastAsia="仿宋" w:cs="仿宋"/>
          <w:spacing w:val="1"/>
          <w:w w:val="95"/>
          <w:sz w:val="30"/>
          <w:szCs w:val="30"/>
          <w:lang w:val="en-US" w:eastAsia="zh-CN" w:bidi="ar-SA"/>
        </w:rPr>
        <w:t>部门规章</w:t>
      </w:r>
    </w:p>
    <w:p w14:paraId="30008BA5">
      <w:pPr>
        <w:pStyle w:val="2"/>
        <w:keepNext w:val="0"/>
        <w:keepLines w:val="0"/>
        <w:pageBreakBefore w:val="0"/>
        <w:widowControl w:val="0"/>
        <w:kinsoku/>
        <w:wordWrap/>
        <w:overflowPunct/>
        <w:topLinePunct w:val="0"/>
        <w:autoSpaceDE w:val="0"/>
        <w:autoSpaceDN w:val="0"/>
        <w:bidi w:val="0"/>
        <w:adjustRightInd/>
        <w:snapToGrid/>
        <w:spacing w:before="0" w:beforeLines="0" w:line="360" w:lineRule="auto"/>
        <w:ind w:left="0" w:leftChars="0" w:right="0" w:firstLine="574" w:firstLineChars="200"/>
        <w:jc w:val="both"/>
        <w:textAlignment w:val="auto"/>
        <w:rPr>
          <w:rFonts w:hint="eastAsia" w:ascii="仿宋" w:hAnsi="仿宋" w:eastAsia="仿宋" w:cs="仿宋"/>
          <w:spacing w:val="1"/>
          <w:w w:val="95"/>
          <w:sz w:val="30"/>
          <w:szCs w:val="30"/>
          <w:lang w:val="en-US" w:eastAsia="zh-CN" w:bidi="ar-SA"/>
        </w:rPr>
      </w:pPr>
      <w:r>
        <w:rPr>
          <w:rFonts w:hint="eastAsia" w:ascii="仿宋" w:hAnsi="仿宋" w:eastAsia="仿宋" w:cs="仿宋"/>
          <w:spacing w:val="1"/>
          <w:w w:val="95"/>
          <w:sz w:val="30"/>
          <w:szCs w:val="30"/>
          <w:lang w:val="en-US" w:eastAsia="zh-CN" w:bidi="ar-SA"/>
        </w:rPr>
        <w:t>（1）财政部《项目支出绩效评价管理办法》（财预[2020]10号）</w:t>
      </w:r>
    </w:p>
    <w:p w14:paraId="57DB12DB">
      <w:pPr>
        <w:pStyle w:val="2"/>
        <w:keepNext w:val="0"/>
        <w:keepLines w:val="0"/>
        <w:pageBreakBefore w:val="0"/>
        <w:widowControl w:val="0"/>
        <w:kinsoku/>
        <w:wordWrap/>
        <w:overflowPunct/>
        <w:topLinePunct w:val="0"/>
        <w:autoSpaceDE w:val="0"/>
        <w:autoSpaceDN w:val="0"/>
        <w:bidi w:val="0"/>
        <w:adjustRightInd/>
        <w:snapToGrid/>
        <w:spacing w:before="0" w:beforeLines="0" w:line="360" w:lineRule="auto"/>
        <w:ind w:left="0" w:leftChars="0" w:right="0" w:firstLine="574" w:firstLineChars="200"/>
        <w:jc w:val="both"/>
        <w:textAlignment w:val="auto"/>
        <w:rPr>
          <w:rFonts w:hint="eastAsia" w:ascii="仿宋" w:hAnsi="仿宋" w:eastAsia="仿宋" w:cs="仿宋"/>
          <w:spacing w:val="1"/>
          <w:w w:val="95"/>
          <w:sz w:val="30"/>
          <w:szCs w:val="30"/>
          <w:lang w:val="en-US" w:eastAsia="zh-CN" w:bidi="ar-SA"/>
        </w:rPr>
      </w:pPr>
      <w:r>
        <w:rPr>
          <w:rFonts w:hint="eastAsia" w:ascii="仿宋" w:hAnsi="仿宋" w:eastAsia="仿宋" w:cs="仿宋"/>
          <w:spacing w:val="1"/>
          <w:w w:val="95"/>
          <w:sz w:val="30"/>
          <w:szCs w:val="30"/>
          <w:lang w:val="en-US" w:eastAsia="zh-CN" w:bidi="ar-SA"/>
        </w:rPr>
        <w:t>（2）财政部《中央部门项目支出核心绩效目标和指标设置及取值指引（试行）》（财预[2021]101号）</w:t>
      </w:r>
    </w:p>
    <w:p w14:paraId="1B7B1416">
      <w:pPr>
        <w:pStyle w:val="2"/>
        <w:keepNext w:val="0"/>
        <w:keepLines w:val="0"/>
        <w:pageBreakBefore w:val="0"/>
        <w:widowControl w:val="0"/>
        <w:kinsoku/>
        <w:wordWrap/>
        <w:overflowPunct/>
        <w:topLinePunct w:val="0"/>
        <w:autoSpaceDE w:val="0"/>
        <w:autoSpaceDN w:val="0"/>
        <w:bidi w:val="0"/>
        <w:adjustRightInd/>
        <w:snapToGrid/>
        <w:spacing w:before="0" w:beforeLines="0" w:line="360" w:lineRule="auto"/>
        <w:ind w:left="0" w:leftChars="0" w:right="0" w:firstLine="574" w:firstLineChars="200"/>
        <w:jc w:val="both"/>
        <w:textAlignment w:val="auto"/>
        <w:rPr>
          <w:rFonts w:hint="eastAsia" w:ascii="仿宋" w:hAnsi="仿宋" w:eastAsia="仿宋" w:cs="仿宋"/>
          <w:spacing w:val="1"/>
          <w:w w:val="95"/>
          <w:sz w:val="30"/>
          <w:szCs w:val="30"/>
          <w:lang w:val="en-US" w:eastAsia="zh-CN" w:bidi="ar-SA"/>
        </w:rPr>
      </w:pPr>
      <w:r>
        <w:rPr>
          <w:rFonts w:hint="eastAsia" w:ascii="仿宋" w:hAnsi="仿宋" w:eastAsia="仿宋" w:cs="仿宋"/>
          <w:spacing w:val="1"/>
          <w:w w:val="95"/>
          <w:sz w:val="30"/>
          <w:szCs w:val="30"/>
          <w:lang w:val="en-US" w:eastAsia="zh-CN" w:bidi="ar-SA"/>
        </w:rPr>
        <w:t>（3）财政部《第三方机构预算绩效评价业务监督管理暂行办法》（财监[2021]4号）</w:t>
      </w:r>
    </w:p>
    <w:p w14:paraId="3E9ADDA7">
      <w:pPr>
        <w:pStyle w:val="2"/>
        <w:keepNext w:val="0"/>
        <w:keepLines w:val="0"/>
        <w:pageBreakBefore w:val="0"/>
        <w:widowControl w:val="0"/>
        <w:kinsoku/>
        <w:wordWrap/>
        <w:overflowPunct/>
        <w:topLinePunct w:val="0"/>
        <w:autoSpaceDE w:val="0"/>
        <w:autoSpaceDN w:val="0"/>
        <w:bidi w:val="0"/>
        <w:adjustRightInd/>
        <w:snapToGrid/>
        <w:spacing w:before="0" w:beforeLines="0" w:line="360" w:lineRule="auto"/>
        <w:ind w:left="0" w:leftChars="0" w:right="0" w:firstLine="574" w:firstLineChars="200"/>
        <w:jc w:val="both"/>
        <w:textAlignment w:val="auto"/>
        <w:rPr>
          <w:rFonts w:hint="eastAsia" w:ascii="仿宋" w:hAnsi="仿宋" w:eastAsia="仿宋" w:cs="仿宋"/>
          <w:spacing w:val="1"/>
          <w:w w:val="95"/>
          <w:sz w:val="30"/>
          <w:szCs w:val="30"/>
          <w:lang w:val="en-US" w:eastAsia="zh-CN" w:bidi="ar-SA"/>
        </w:rPr>
      </w:pPr>
      <w:r>
        <w:rPr>
          <w:rFonts w:hint="eastAsia" w:ascii="仿宋" w:hAnsi="仿宋" w:eastAsia="仿宋" w:cs="仿宋"/>
          <w:spacing w:val="1"/>
          <w:w w:val="95"/>
          <w:sz w:val="30"/>
          <w:szCs w:val="30"/>
          <w:lang w:val="en-US" w:eastAsia="zh-CN" w:bidi="ar-SA"/>
        </w:rPr>
        <w:t>（4）江苏省财政厅《省级部门整体绩效评价管理暂行办法》（苏财绩[2022]51号）</w:t>
      </w:r>
    </w:p>
    <w:p w14:paraId="7680BE09">
      <w:pPr>
        <w:pStyle w:val="2"/>
        <w:keepNext w:val="0"/>
        <w:keepLines w:val="0"/>
        <w:pageBreakBefore w:val="0"/>
        <w:widowControl w:val="0"/>
        <w:kinsoku/>
        <w:wordWrap/>
        <w:overflowPunct/>
        <w:topLinePunct w:val="0"/>
        <w:autoSpaceDE w:val="0"/>
        <w:autoSpaceDN w:val="0"/>
        <w:bidi w:val="0"/>
        <w:adjustRightInd/>
        <w:snapToGrid/>
        <w:spacing w:before="0" w:beforeLines="0" w:line="360" w:lineRule="auto"/>
        <w:ind w:left="0" w:leftChars="0" w:right="0" w:firstLine="574" w:firstLineChars="200"/>
        <w:jc w:val="both"/>
        <w:textAlignment w:val="auto"/>
        <w:rPr>
          <w:rFonts w:hint="eastAsia" w:ascii="仿宋" w:hAnsi="仿宋" w:eastAsia="仿宋" w:cs="仿宋"/>
          <w:spacing w:val="1"/>
          <w:w w:val="95"/>
          <w:sz w:val="30"/>
          <w:szCs w:val="30"/>
          <w:lang w:val="en-US" w:eastAsia="zh-CN" w:bidi="ar-SA"/>
        </w:rPr>
      </w:pPr>
      <w:r>
        <w:rPr>
          <w:rFonts w:hint="eastAsia" w:ascii="仿宋" w:hAnsi="仿宋" w:eastAsia="仿宋" w:cs="仿宋"/>
          <w:spacing w:val="1"/>
          <w:w w:val="95"/>
          <w:sz w:val="30"/>
          <w:szCs w:val="30"/>
          <w:lang w:val="en-US" w:eastAsia="zh-CN" w:bidi="ar-SA"/>
        </w:rPr>
        <w:t>（5）南京市财政局《南京市市级财政预算绩效评价操作规程（试行）》（宁财绩[2020]260号）</w:t>
      </w:r>
    </w:p>
    <w:p w14:paraId="3022DFC0">
      <w:pPr>
        <w:pStyle w:val="2"/>
        <w:keepNext w:val="0"/>
        <w:keepLines w:val="0"/>
        <w:pageBreakBefore w:val="0"/>
        <w:widowControl w:val="0"/>
        <w:kinsoku/>
        <w:wordWrap/>
        <w:overflowPunct/>
        <w:topLinePunct w:val="0"/>
        <w:autoSpaceDE w:val="0"/>
        <w:autoSpaceDN w:val="0"/>
        <w:bidi w:val="0"/>
        <w:adjustRightInd/>
        <w:snapToGrid/>
        <w:spacing w:before="0" w:beforeLines="0" w:line="360" w:lineRule="auto"/>
        <w:ind w:left="0" w:leftChars="0" w:right="0" w:firstLine="574" w:firstLineChars="200"/>
        <w:jc w:val="both"/>
        <w:textAlignment w:val="auto"/>
        <w:rPr>
          <w:rFonts w:hint="eastAsia" w:ascii="仿宋" w:hAnsi="仿宋" w:eastAsia="仿宋" w:cs="仿宋"/>
          <w:spacing w:val="1"/>
          <w:w w:val="95"/>
          <w:sz w:val="30"/>
          <w:szCs w:val="30"/>
          <w:lang w:val="en-US" w:eastAsia="zh-CN" w:bidi="ar-SA"/>
        </w:rPr>
      </w:pPr>
      <w:r>
        <w:rPr>
          <w:rFonts w:hint="eastAsia" w:ascii="仿宋" w:hAnsi="仿宋" w:eastAsia="仿宋" w:cs="仿宋"/>
          <w:spacing w:val="1"/>
          <w:w w:val="95"/>
          <w:sz w:val="30"/>
          <w:szCs w:val="30"/>
          <w:lang w:val="en-US" w:eastAsia="zh-CN" w:bidi="ar-SA"/>
        </w:rPr>
        <w:t>（6）南京市财政局《南京市市级预算部门（单位）整体绩效管理办法（试行）》（宁财绩[2020]359号）</w:t>
      </w:r>
    </w:p>
    <w:p w14:paraId="24CC6533">
      <w:pPr>
        <w:pStyle w:val="2"/>
        <w:keepNext w:val="0"/>
        <w:keepLines w:val="0"/>
        <w:pageBreakBefore w:val="0"/>
        <w:widowControl w:val="0"/>
        <w:kinsoku/>
        <w:wordWrap/>
        <w:overflowPunct/>
        <w:topLinePunct w:val="0"/>
        <w:autoSpaceDE w:val="0"/>
        <w:autoSpaceDN w:val="0"/>
        <w:bidi w:val="0"/>
        <w:adjustRightInd/>
        <w:snapToGrid/>
        <w:spacing w:before="0" w:beforeLines="0" w:line="360" w:lineRule="auto"/>
        <w:ind w:left="0" w:leftChars="0" w:right="0" w:firstLine="574" w:firstLineChars="200"/>
        <w:jc w:val="both"/>
        <w:textAlignment w:val="auto"/>
        <w:rPr>
          <w:rFonts w:hint="eastAsia" w:ascii="仿宋" w:hAnsi="仿宋" w:eastAsia="仿宋" w:cs="仿宋"/>
          <w:spacing w:val="1"/>
          <w:w w:val="95"/>
          <w:sz w:val="30"/>
          <w:szCs w:val="30"/>
          <w:lang w:val="en-US" w:eastAsia="zh-CN" w:bidi="ar-SA"/>
        </w:rPr>
      </w:pPr>
      <w:r>
        <w:rPr>
          <w:rFonts w:hint="eastAsia" w:ascii="仿宋" w:hAnsi="仿宋" w:eastAsia="仿宋" w:cs="仿宋"/>
          <w:spacing w:val="1"/>
          <w:w w:val="95"/>
          <w:sz w:val="30"/>
          <w:szCs w:val="30"/>
          <w:lang w:val="en-US" w:eastAsia="zh-CN" w:bidi="ar-SA"/>
        </w:rPr>
        <w:t>其他被评价单位财务资料及业务管理有关材料。</w:t>
      </w:r>
    </w:p>
    <w:p w14:paraId="2CC459C0">
      <w:pPr>
        <w:pStyle w:val="2"/>
        <w:keepNext w:val="0"/>
        <w:keepLines w:val="0"/>
        <w:pageBreakBefore w:val="0"/>
        <w:widowControl w:val="0"/>
        <w:kinsoku/>
        <w:wordWrap/>
        <w:overflowPunct/>
        <w:topLinePunct w:val="0"/>
        <w:autoSpaceDE w:val="0"/>
        <w:autoSpaceDN w:val="0"/>
        <w:bidi w:val="0"/>
        <w:adjustRightInd/>
        <w:snapToGrid/>
        <w:spacing w:before="0" w:beforeLines="0" w:line="360" w:lineRule="auto"/>
        <w:ind w:left="0" w:leftChars="0" w:right="0" w:firstLine="574" w:firstLineChars="200"/>
        <w:jc w:val="both"/>
        <w:textAlignment w:val="auto"/>
        <w:outlineLvl w:val="2"/>
        <w:rPr>
          <w:rFonts w:hint="eastAsia" w:ascii="仿宋" w:hAnsi="仿宋" w:eastAsia="仿宋" w:cs="仿宋"/>
          <w:spacing w:val="1"/>
          <w:w w:val="95"/>
          <w:sz w:val="30"/>
          <w:szCs w:val="30"/>
          <w:lang w:val="en-US" w:eastAsia="zh-CN" w:bidi="ar-SA"/>
        </w:rPr>
      </w:pPr>
      <w:bookmarkStart w:id="261" w:name="_Toc5976"/>
      <w:r>
        <w:rPr>
          <w:rFonts w:hint="eastAsia" w:ascii="仿宋" w:hAnsi="仿宋" w:eastAsia="仿宋" w:cs="仿宋"/>
          <w:spacing w:val="1"/>
          <w:w w:val="95"/>
          <w:sz w:val="30"/>
          <w:szCs w:val="30"/>
          <w:lang w:val="en-US" w:eastAsia="zh-CN" w:bidi="ar-SA"/>
        </w:rPr>
        <w:t>3.评价原则</w:t>
      </w:r>
      <w:bookmarkEnd w:id="261"/>
    </w:p>
    <w:p w14:paraId="73E3B371">
      <w:pPr>
        <w:pStyle w:val="2"/>
        <w:keepNext w:val="0"/>
        <w:keepLines w:val="0"/>
        <w:pageBreakBefore w:val="0"/>
        <w:widowControl w:val="0"/>
        <w:kinsoku/>
        <w:wordWrap/>
        <w:overflowPunct/>
        <w:topLinePunct w:val="0"/>
        <w:autoSpaceDE w:val="0"/>
        <w:autoSpaceDN w:val="0"/>
        <w:bidi w:val="0"/>
        <w:adjustRightInd/>
        <w:snapToGrid/>
        <w:spacing w:before="0" w:beforeLines="0" w:line="360" w:lineRule="auto"/>
        <w:ind w:left="0" w:leftChars="0" w:right="0" w:firstLine="574" w:firstLineChars="200"/>
        <w:jc w:val="both"/>
        <w:textAlignment w:val="auto"/>
        <w:rPr>
          <w:rFonts w:hint="eastAsia" w:ascii="仿宋" w:hAnsi="仿宋" w:eastAsia="仿宋" w:cs="仿宋"/>
          <w:spacing w:val="1"/>
          <w:w w:val="95"/>
          <w:sz w:val="30"/>
          <w:szCs w:val="30"/>
          <w:lang w:val="en-US" w:eastAsia="zh-CN" w:bidi="ar-SA"/>
        </w:rPr>
      </w:pPr>
      <w:r>
        <w:rPr>
          <w:rFonts w:hint="eastAsia" w:ascii="仿宋" w:hAnsi="仿宋" w:eastAsia="仿宋" w:cs="仿宋"/>
          <w:spacing w:val="1"/>
          <w:w w:val="95"/>
          <w:sz w:val="30"/>
          <w:szCs w:val="30"/>
          <w:lang w:val="en-US" w:eastAsia="zh-CN" w:bidi="ar-SA"/>
        </w:rPr>
        <w:t>评价工作遵循“个性指标与共性指标相结合”、“定性指标与定量指标相结合”、“主观性与客观性相结合”以及“过程指标与结果指标相结合”的原则，采用“绩效优先”、“管理并重”、“佐证支撑”的绩效评价理念，主要从决策、过程、履职、效益和满意度五个方面对评价目标进行逐步分解，从定性与定量两个角度综合考量，评价资金使用的效率与效益。</w:t>
      </w:r>
    </w:p>
    <w:p w14:paraId="2C6EA9AC">
      <w:pPr>
        <w:keepNext w:val="0"/>
        <w:keepLines w:val="0"/>
        <w:pageBreakBefore w:val="0"/>
        <w:widowControl/>
        <w:kinsoku w:val="0"/>
        <w:wordWrap/>
        <w:overflowPunct/>
        <w:topLinePunct w:val="0"/>
        <w:autoSpaceDE w:val="0"/>
        <w:autoSpaceDN w:val="0"/>
        <w:bidi w:val="0"/>
        <w:adjustRightInd w:val="0"/>
        <w:snapToGrid w:val="0"/>
        <w:spacing w:beforeLines="0" w:line="360" w:lineRule="auto"/>
        <w:ind w:left="0" w:firstLine="628" w:firstLineChars="200"/>
        <w:jc w:val="both"/>
        <w:textAlignment w:val="baseline"/>
        <w:rPr>
          <w:rFonts w:hint="eastAsia" w:ascii="仿宋" w:hAnsi="仿宋" w:eastAsia="仿宋" w:cs="仿宋"/>
          <w:snapToGrid w:val="0"/>
          <w:color w:val="000000"/>
          <w:spacing w:val="7"/>
          <w:kern w:val="0"/>
          <w:sz w:val="30"/>
          <w:szCs w:val="30"/>
        </w:rPr>
      </w:pPr>
      <w:r>
        <w:rPr>
          <w:rFonts w:hint="eastAsia" w:ascii="仿宋" w:hAnsi="仿宋" w:eastAsia="仿宋" w:cs="仿宋"/>
          <w:snapToGrid w:val="0"/>
          <w:color w:val="000000"/>
          <w:spacing w:val="7"/>
          <w:kern w:val="0"/>
          <w:sz w:val="30"/>
          <w:szCs w:val="30"/>
        </w:rPr>
        <w:t>（1）个性指标与共性指标相结合</w:t>
      </w:r>
    </w:p>
    <w:p w14:paraId="1E6A865D">
      <w:pPr>
        <w:pStyle w:val="2"/>
        <w:keepNext w:val="0"/>
        <w:keepLines w:val="0"/>
        <w:pageBreakBefore w:val="0"/>
        <w:widowControl w:val="0"/>
        <w:kinsoku/>
        <w:wordWrap/>
        <w:overflowPunct/>
        <w:topLinePunct w:val="0"/>
        <w:autoSpaceDE w:val="0"/>
        <w:autoSpaceDN w:val="0"/>
        <w:bidi w:val="0"/>
        <w:adjustRightInd/>
        <w:snapToGrid/>
        <w:spacing w:before="0" w:beforeLines="0" w:line="360" w:lineRule="auto"/>
        <w:ind w:left="0" w:leftChars="0" w:right="0" w:firstLine="574" w:firstLineChars="200"/>
        <w:jc w:val="both"/>
        <w:textAlignment w:val="auto"/>
        <w:rPr>
          <w:rFonts w:hint="eastAsia" w:ascii="仿宋" w:hAnsi="仿宋" w:eastAsia="仿宋" w:cs="仿宋"/>
          <w:spacing w:val="1"/>
          <w:w w:val="95"/>
          <w:sz w:val="30"/>
          <w:szCs w:val="30"/>
          <w:lang w:val="en-US" w:eastAsia="zh-CN" w:bidi="ar-SA"/>
        </w:rPr>
      </w:pPr>
      <w:r>
        <w:rPr>
          <w:rFonts w:hint="eastAsia" w:ascii="仿宋" w:hAnsi="仿宋" w:eastAsia="仿宋" w:cs="仿宋"/>
          <w:spacing w:val="1"/>
          <w:w w:val="95"/>
          <w:sz w:val="30"/>
          <w:szCs w:val="30"/>
          <w:lang w:val="en-US" w:eastAsia="zh-CN" w:bidi="ar-SA"/>
        </w:rPr>
        <w:t>各个工作部门都有其自身特定的工作性质和工作内容，评估模式要形成相应的工作个性指标，根据不同的考评目的和考评对象进行指标设计，应从实际情况出发，使其具有较强的针对性，充分体现出所考评对象工作的性质、工作内容和特点。评估模式中设置共性指标，直接显现各个部门之间横向的可比性，有助于绩效评估在更大的范围内迅速推广，增强评估本身的绩效。共性指标主要集中于投入和过程环节，个性指标主要集中于产出和效益环节。</w:t>
      </w:r>
    </w:p>
    <w:p w14:paraId="64A80080">
      <w:pPr>
        <w:keepNext w:val="0"/>
        <w:keepLines w:val="0"/>
        <w:pageBreakBefore w:val="0"/>
        <w:widowControl/>
        <w:kinsoku w:val="0"/>
        <w:wordWrap/>
        <w:overflowPunct/>
        <w:topLinePunct w:val="0"/>
        <w:autoSpaceDE w:val="0"/>
        <w:autoSpaceDN w:val="0"/>
        <w:bidi w:val="0"/>
        <w:adjustRightInd w:val="0"/>
        <w:snapToGrid w:val="0"/>
        <w:spacing w:beforeLines="0" w:line="360" w:lineRule="auto"/>
        <w:ind w:left="0" w:firstLine="628" w:firstLineChars="200"/>
        <w:jc w:val="both"/>
        <w:textAlignment w:val="baseline"/>
        <w:rPr>
          <w:rFonts w:hint="eastAsia" w:ascii="仿宋" w:hAnsi="仿宋" w:eastAsia="仿宋" w:cs="仿宋"/>
          <w:snapToGrid w:val="0"/>
          <w:color w:val="000000"/>
          <w:spacing w:val="7"/>
          <w:kern w:val="0"/>
          <w:sz w:val="30"/>
          <w:szCs w:val="30"/>
        </w:rPr>
      </w:pPr>
      <w:r>
        <w:rPr>
          <w:rFonts w:hint="eastAsia" w:ascii="仿宋" w:hAnsi="仿宋" w:eastAsia="仿宋" w:cs="仿宋"/>
          <w:snapToGrid w:val="0"/>
          <w:color w:val="000000"/>
          <w:spacing w:val="7"/>
          <w:kern w:val="0"/>
          <w:sz w:val="30"/>
          <w:szCs w:val="30"/>
        </w:rPr>
        <w:t>（2）定性指标与定量指标相结合</w:t>
      </w:r>
    </w:p>
    <w:p w14:paraId="5122F44F">
      <w:pPr>
        <w:pStyle w:val="2"/>
        <w:keepNext w:val="0"/>
        <w:keepLines w:val="0"/>
        <w:pageBreakBefore w:val="0"/>
        <w:widowControl w:val="0"/>
        <w:kinsoku/>
        <w:wordWrap/>
        <w:overflowPunct/>
        <w:topLinePunct w:val="0"/>
        <w:autoSpaceDE w:val="0"/>
        <w:autoSpaceDN w:val="0"/>
        <w:bidi w:val="0"/>
        <w:adjustRightInd/>
        <w:snapToGrid/>
        <w:spacing w:before="0" w:beforeLines="0" w:line="360" w:lineRule="auto"/>
        <w:ind w:left="0" w:leftChars="0" w:right="0" w:firstLine="574" w:firstLineChars="200"/>
        <w:jc w:val="both"/>
        <w:textAlignment w:val="auto"/>
        <w:rPr>
          <w:rFonts w:hint="eastAsia" w:ascii="仿宋" w:hAnsi="仿宋" w:eastAsia="仿宋" w:cs="仿宋"/>
          <w:spacing w:val="1"/>
          <w:w w:val="95"/>
          <w:sz w:val="30"/>
          <w:szCs w:val="30"/>
          <w:lang w:val="en-US" w:eastAsia="zh-CN" w:bidi="ar-SA"/>
        </w:rPr>
      </w:pPr>
      <w:r>
        <w:rPr>
          <w:rFonts w:hint="eastAsia" w:ascii="仿宋" w:hAnsi="仿宋" w:eastAsia="仿宋" w:cs="仿宋"/>
          <w:spacing w:val="1"/>
          <w:w w:val="95"/>
          <w:sz w:val="30"/>
          <w:szCs w:val="30"/>
          <w:lang w:val="en-US" w:eastAsia="zh-CN" w:bidi="ar-SA"/>
        </w:rPr>
        <w:t>定性指标是指不能用数据计量的，而只能通过描述性的语句来表述其内容和程度的指标，多是各项能力态度类指标，比如沟通能力、创新能力、领导能力、责任感、主动性等。</w:t>
      </w:r>
    </w:p>
    <w:p w14:paraId="0ED5E701">
      <w:pPr>
        <w:pStyle w:val="2"/>
        <w:keepNext w:val="0"/>
        <w:keepLines w:val="0"/>
        <w:pageBreakBefore w:val="0"/>
        <w:widowControl w:val="0"/>
        <w:kinsoku/>
        <w:wordWrap/>
        <w:overflowPunct/>
        <w:topLinePunct w:val="0"/>
        <w:autoSpaceDE w:val="0"/>
        <w:autoSpaceDN w:val="0"/>
        <w:bidi w:val="0"/>
        <w:adjustRightInd/>
        <w:snapToGrid/>
        <w:spacing w:before="0" w:beforeLines="0" w:line="360" w:lineRule="auto"/>
        <w:ind w:left="0" w:leftChars="0" w:right="0" w:firstLine="574" w:firstLineChars="200"/>
        <w:jc w:val="both"/>
        <w:textAlignment w:val="auto"/>
        <w:rPr>
          <w:rFonts w:hint="eastAsia" w:ascii="仿宋" w:hAnsi="仿宋" w:eastAsia="仿宋" w:cs="仿宋"/>
          <w:spacing w:val="1"/>
          <w:w w:val="95"/>
          <w:sz w:val="30"/>
          <w:szCs w:val="30"/>
          <w:lang w:val="en-US" w:eastAsia="zh-CN" w:bidi="ar-SA"/>
        </w:rPr>
      </w:pPr>
      <w:r>
        <w:rPr>
          <w:rFonts w:hint="eastAsia" w:ascii="仿宋" w:hAnsi="仿宋" w:eastAsia="仿宋" w:cs="仿宋"/>
          <w:spacing w:val="1"/>
          <w:w w:val="95"/>
          <w:sz w:val="30"/>
          <w:szCs w:val="30"/>
          <w:lang w:val="en-US" w:eastAsia="zh-CN" w:bidi="ar-SA"/>
        </w:rPr>
        <w:t>本绩效评价指标体系的定性指标的筛选主要采用德尔菲法，运用该方法时，各位专家之间相互独立，各自回答研究者提出的问题，研究者与专家之间可以进行反复沟通与讨论，最终获得咨询结果，以此来确保定性指标的科学性。</w:t>
      </w:r>
    </w:p>
    <w:p w14:paraId="442F8BBD">
      <w:pPr>
        <w:keepNext w:val="0"/>
        <w:keepLines w:val="0"/>
        <w:pageBreakBefore w:val="0"/>
        <w:widowControl/>
        <w:kinsoku w:val="0"/>
        <w:wordWrap/>
        <w:overflowPunct/>
        <w:topLinePunct w:val="0"/>
        <w:autoSpaceDE w:val="0"/>
        <w:autoSpaceDN w:val="0"/>
        <w:bidi w:val="0"/>
        <w:adjustRightInd w:val="0"/>
        <w:snapToGrid w:val="0"/>
        <w:spacing w:beforeLines="0" w:line="360" w:lineRule="auto"/>
        <w:ind w:left="0" w:firstLine="628" w:firstLineChars="200"/>
        <w:jc w:val="both"/>
        <w:textAlignment w:val="baseline"/>
        <w:rPr>
          <w:rFonts w:hint="eastAsia" w:ascii="仿宋" w:hAnsi="仿宋" w:eastAsia="仿宋" w:cs="仿宋"/>
          <w:snapToGrid w:val="0"/>
          <w:color w:val="000000"/>
          <w:spacing w:val="7"/>
          <w:kern w:val="0"/>
          <w:sz w:val="30"/>
          <w:szCs w:val="30"/>
        </w:rPr>
      </w:pPr>
      <w:r>
        <w:rPr>
          <w:rFonts w:hint="eastAsia" w:ascii="仿宋" w:hAnsi="仿宋" w:eastAsia="仿宋" w:cs="仿宋"/>
          <w:snapToGrid w:val="0"/>
          <w:color w:val="000000"/>
          <w:spacing w:val="7"/>
          <w:kern w:val="0"/>
          <w:sz w:val="30"/>
          <w:szCs w:val="30"/>
        </w:rPr>
        <w:t>（3）主观性与客观性相结合</w:t>
      </w:r>
    </w:p>
    <w:p w14:paraId="4322DF6F">
      <w:pPr>
        <w:pStyle w:val="2"/>
        <w:keepNext w:val="0"/>
        <w:keepLines w:val="0"/>
        <w:pageBreakBefore w:val="0"/>
        <w:widowControl w:val="0"/>
        <w:kinsoku/>
        <w:wordWrap/>
        <w:overflowPunct/>
        <w:topLinePunct w:val="0"/>
        <w:autoSpaceDE w:val="0"/>
        <w:autoSpaceDN w:val="0"/>
        <w:bidi w:val="0"/>
        <w:adjustRightInd/>
        <w:snapToGrid/>
        <w:spacing w:before="0" w:beforeLines="0" w:line="360" w:lineRule="auto"/>
        <w:ind w:left="0" w:leftChars="0" w:right="0" w:firstLine="574" w:firstLineChars="200"/>
        <w:jc w:val="both"/>
        <w:textAlignment w:val="auto"/>
        <w:rPr>
          <w:rFonts w:hint="eastAsia" w:ascii="仿宋" w:hAnsi="仿宋" w:eastAsia="仿宋" w:cs="仿宋"/>
          <w:spacing w:val="1"/>
          <w:w w:val="95"/>
          <w:sz w:val="30"/>
          <w:szCs w:val="30"/>
          <w:lang w:val="en-US" w:eastAsia="zh-CN" w:bidi="ar-SA"/>
        </w:rPr>
      </w:pPr>
      <w:r>
        <w:rPr>
          <w:rFonts w:hint="eastAsia" w:ascii="仿宋" w:hAnsi="仿宋" w:eastAsia="仿宋" w:cs="仿宋"/>
          <w:spacing w:val="1"/>
          <w:w w:val="95"/>
          <w:sz w:val="30"/>
          <w:szCs w:val="30"/>
          <w:lang w:val="en-US" w:eastAsia="zh-CN" w:bidi="ar-SA"/>
        </w:rPr>
        <w:t>评价指标遵循主客观相结合的原则。其中，客观指标是指反映客观现象的指标，是反映实情的指标。主观指标也称感觉指标，是指反映人们的感觉、愿望、态度、评价等主观情况的指标，是反映民意的指标。本绩效评价指标体系客观指标数据主要是参照文献和政府官方网站文件，主观指标数据是依靠各方专家打分及调查问卷来获取。</w:t>
      </w:r>
    </w:p>
    <w:p w14:paraId="5C645A11">
      <w:pPr>
        <w:pStyle w:val="2"/>
        <w:keepNext w:val="0"/>
        <w:keepLines w:val="0"/>
        <w:pageBreakBefore w:val="0"/>
        <w:widowControl w:val="0"/>
        <w:numPr>
          <w:ilvl w:val="0"/>
          <w:numId w:val="1"/>
        </w:numPr>
        <w:kinsoku/>
        <w:wordWrap/>
        <w:overflowPunct/>
        <w:topLinePunct w:val="0"/>
        <w:autoSpaceDE w:val="0"/>
        <w:autoSpaceDN w:val="0"/>
        <w:bidi w:val="0"/>
        <w:adjustRightInd/>
        <w:snapToGrid/>
        <w:spacing w:before="0" w:beforeLines="0" w:line="360" w:lineRule="auto"/>
        <w:ind w:left="0" w:leftChars="0" w:right="0" w:firstLine="574" w:firstLineChars="200"/>
        <w:jc w:val="both"/>
        <w:textAlignment w:val="auto"/>
        <w:rPr>
          <w:rFonts w:hint="eastAsia" w:ascii="仿宋" w:hAnsi="仿宋" w:eastAsia="仿宋" w:cs="仿宋"/>
          <w:spacing w:val="1"/>
          <w:w w:val="95"/>
          <w:sz w:val="30"/>
          <w:szCs w:val="30"/>
          <w:lang w:val="en-US" w:eastAsia="zh-CN" w:bidi="ar-SA"/>
        </w:rPr>
      </w:pPr>
      <w:r>
        <w:rPr>
          <w:rFonts w:hint="eastAsia" w:ascii="仿宋" w:hAnsi="仿宋" w:eastAsia="仿宋" w:cs="仿宋"/>
          <w:spacing w:val="1"/>
          <w:w w:val="95"/>
          <w:sz w:val="30"/>
          <w:szCs w:val="30"/>
          <w:lang w:val="en-US" w:eastAsia="zh-CN" w:bidi="ar-SA"/>
        </w:rPr>
        <w:t>过程指标与结果指标相结合</w:t>
      </w:r>
    </w:p>
    <w:p w14:paraId="61B8DCB7">
      <w:pPr>
        <w:pStyle w:val="2"/>
        <w:keepNext w:val="0"/>
        <w:keepLines w:val="0"/>
        <w:pageBreakBefore w:val="0"/>
        <w:widowControl w:val="0"/>
        <w:numPr>
          <w:ilvl w:val="0"/>
          <w:numId w:val="0"/>
        </w:numPr>
        <w:kinsoku/>
        <w:wordWrap/>
        <w:overflowPunct/>
        <w:topLinePunct w:val="0"/>
        <w:autoSpaceDE w:val="0"/>
        <w:autoSpaceDN w:val="0"/>
        <w:bidi w:val="0"/>
        <w:adjustRightInd/>
        <w:snapToGrid/>
        <w:spacing w:before="0" w:beforeLines="0" w:line="360" w:lineRule="auto"/>
        <w:ind w:left="0" w:right="0" w:rightChars="0" w:firstLine="574" w:firstLineChars="200"/>
        <w:jc w:val="both"/>
        <w:textAlignment w:val="auto"/>
        <w:rPr>
          <w:rFonts w:hint="eastAsia" w:ascii="仿宋" w:hAnsi="仿宋" w:eastAsia="仿宋" w:cs="仿宋"/>
          <w:spacing w:val="1"/>
          <w:w w:val="95"/>
          <w:sz w:val="30"/>
          <w:szCs w:val="30"/>
          <w:lang w:val="en-US" w:eastAsia="zh-CN" w:bidi="ar-SA"/>
        </w:rPr>
      </w:pPr>
      <w:r>
        <w:rPr>
          <w:rFonts w:hint="eastAsia" w:ascii="仿宋" w:hAnsi="仿宋" w:eastAsia="仿宋" w:cs="仿宋"/>
          <w:spacing w:val="1"/>
          <w:w w:val="95"/>
          <w:sz w:val="30"/>
          <w:szCs w:val="30"/>
          <w:lang w:val="en-US" w:eastAsia="zh-CN" w:bidi="ar-SA"/>
        </w:rPr>
        <w:t>政府绩效评估指标设计应该坚持过程指标与结果指标相结合的原则。过程方面主要是对政府部门职能评价、财务性指标评价和一些常规性评价，约占该指标体系的48%左右；结果指标，包括部门履职和部门绩效两方面，约占该指标体系的52%左右。</w:t>
      </w:r>
    </w:p>
    <w:p w14:paraId="280AD49D">
      <w:pPr>
        <w:pStyle w:val="2"/>
        <w:keepNext w:val="0"/>
        <w:keepLines w:val="0"/>
        <w:pageBreakBefore w:val="0"/>
        <w:widowControl w:val="0"/>
        <w:kinsoku/>
        <w:wordWrap/>
        <w:overflowPunct/>
        <w:topLinePunct w:val="0"/>
        <w:autoSpaceDE w:val="0"/>
        <w:autoSpaceDN w:val="0"/>
        <w:bidi w:val="0"/>
        <w:adjustRightInd/>
        <w:snapToGrid/>
        <w:spacing w:before="0" w:beforeLines="0" w:line="360" w:lineRule="auto"/>
        <w:ind w:left="0" w:leftChars="0" w:right="0" w:firstLine="574" w:firstLineChars="200"/>
        <w:jc w:val="both"/>
        <w:textAlignment w:val="auto"/>
        <w:outlineLvl w:val="2"/>
        <w:rPr>
          <w:rFonts w:hint="eastAsia" w:ascii="仿宋" w:hAnsi="仿宋" w:eastAsia="仿宋" w:cs="仿宋"/>
          <w:spacing w:val="1"/>
          <w:w w:val="95"/>
          <w:sz w:val="30"/>
          <w:szCs w:val="30"/>
          <w:lang w:val="en-US" w:eastAsia="zh-CN" w:bidi="ar-SA"/>
        </w:rPr>
      </w:pPr>
      <w:bookmarkStart w:id="262" w:name="_Toc29620"/>
      <w:r>
        <w:rPr>
          <w:rFonts w:hint="eastAsia" w:ascii="仿宋" w:hAnsi="仿宋" w:eastAsia="仿宋" w:cs="仿宋"/>
          <w:spacing w:val="1"/>
          <w:w w:val="95"/>
          <w:sz w:val="30"/>
          <w:szCs w:val="30"/>
          <w:lang w:val="en-US" w:eastAsia="zh-CN" w:bidi="ar-SA"/>
        </w:rPr>
        <w:t>4.评价方法</w:t>
      </w:r>
      <w:bookmarkEnd w:id="262"/>
    </w:p>
    <w:p w14:paraId="04EE1461">
      <w:pPr>
        <w:pStyle w:val="2"/>
        <w:keepNext w:val="0"/>
        <w:keepLines w:val="0"/>
        <w:pageBreakBefore w:val="0"/>
        <w:widowControl w:val="0"/>
        <w:kinsoku/>
        <w:wordWrap/>
        <w:overflowPunct/>
        <w:topLinePunct w:val="0"/>
        <w:autoSpaceDE w:val="0"/>
        <w:autoSpaceDN w:val="0"/>
        <w:bidi w:val="0"/>
        <w:adjustRightInd/>
        <w:snapToGrid/>
        <w:spacing w:before="0" w:beforeLines="0" w:line="360" w:lineRule="auto"/>
        <w:ind w:left="0" w:leftChars="0" w:right="0" w:firstLine="574" w:firstLineChars="200"/>
        <w:jc w:val="both"/>
        <w:textAlignment w:val="auto"/>
        <w:rPr>
          <w:rFonts w:hint="eastAsia" w:ascii="仿宋" w:hAnsi="仿宋" w:eastAsia="仿宋" w:cs="仿宋"/>
          <w:spacing w:val="1"/>
          <w:w w:val="95"/>
          <w:sz w:val="30"/>
          <w:szCs w:val="30"/>
          <w:lang w:val="en-US" w:eastAsia="zh-CN" w:bidi="ar-SA"/>
        </w:rPr>
      </w:pPr>
      <w:r>
        <w:rPr>
          <w:rFonts w:hint="eastAsia" w:ascii="仿宋" w:hAnsi="仿宋" w:eastAsia="仿宋" w:cs="仿宋"/>
          <w:spacing w:val="1"/>
          <w:w w:val="95"/>
          <w:sz w:val="30"/>
          <w:szCs w:val="30"/>
          <w:lang w:val="en-US" w:eastAsia="zh-CN" w:bidi="ar-SA"/>
        </w:rPr>
        <w:t>本次绩效评价所采用的方法主要包括如下几种：</w:t>
      </w:r>
    </w:p>
    <w:p w14:paraId="0D179BAE">
      <w:pPr>
        <w:pStyle w:val="2"/>
        <w:keepNext w:val="0"/>
        <w:keepLines w:val="0"/>
        <w:pageBreakBefore w:val="0"/>
        <w:widowControl w:val="0"/>
        <w:kinsoku/>
        <w:wordWrap/>
        <w:overflowPunct/>
        <w:topLinePunct w:val="0"/>
        <w:autoSpaceDE w:val="0"/>
        <w:autoSpaceDN w:val="0"/>
        <w:bidi w:val="0"/>
        <w:adjustRightInd/>
        <w:snapToGrid/>
        <w:spacing w:before="0" w:beforeLines="0" w:line="360" w:lineRule="auto"/>
        <w:ind w:left="0" w:leftChars="0" w:right="0" w:firstLine="574" w:firstLineChars="200"/>
        <w:jc w:val="both"/>
        <w:textAlignment w:val="auto"/>
        <w:rPr>
          <w:rFonts w:hint="eastAsia" w:ascii="仿宋" w:hAnsi="仿宋" w:eastAsia="仿宋" w:cs="仿宋"/>
          <w:spacing w:val="1"/>
          <w:w w:val="95"/>
          <w:sz w:val="30"/>
          <w:szCs w:val="30"/>
          <w:lang w:val="en-US" w:eastAsia="zh-CN" w:bidi="ar-SA"/>
        </w:rPr>
      </w:pPr>
      <w:r>
        <w:rPr>
          <w:rFonts w:hint="eastAsia" w:ascii="仿宋" w:hAnsi="仿宋" w:eastAsia="仿宋" w:cs="仿宋"/>
          <w:spacing w:val="1"/>
          <w:w w:val="95"/>
          <w:sz w:val="30"/>
          <w:szCs w:val="30"/>
          <w:lang w:val="en-US" w:eastAsia="zh-CN" w:bidi="ar-SA"/>
        </w:rPr>
        <w:t>（1）成本效益分析法。是指将一定时期内的支出与效益进行对比分析，以评价绩效目标实现程度。</w:t>
      </w:r>
    </w:p>
    <w:p w14:paraId="56563AD4">
      <w:pPr>
        <w:pStyle w:val="2"/>
        <w:keepNext w:val="0"/>
        <w:keepLines w:val="0"/>
        <w:pageBreakBefore w:val="0"/>
        <w:widowControl w:val="0"/>
        <w:kinsoku/>
        <w:wordWrap/>
        <w:overflowPunct/>
        <w:topLinePunct w:val="0"/>
        <w:autoSpaceDE w:val="0"/>
        <w:autoSpaceDN w:val="0"/>
        <w:bidi w:val="0"/>
        <w:adjustRightInd/>
        <w:snapToGrid/>
        <w:spacing w:before="0" w:beforeLines="0" w:line="360" w:lineRule="auto"/>
        <w:ind w:left="0" w:leftChars="0" w:right="0" w:firstLine="574" w:firstLineChars="200"/>
        <w:jc w:val="both"/>
        <w:textAlignment w:val="auto"/>
        <w:rPr>
          <w:rFonts w:hint="eastAsia" w:ascii="仿宋" w:hAnsi="仿宋" w:eastAsia="仿宋" w:cs="仿宋"/>
          <w:spacing w:val="1"/>
          <w:w w:val="95"/>
          <w:sz w:val="30"/>
          <w:szCs w:val="30"/>
          <w:lang w:val="en-US" w:eastAsia="zh-CN" w:bidi="ar-SA"/>
        </w:rPr>
      </w:pPr>
      <w:r>
        <w:rPr>
          <w:rFonts w:hint="eastAsia" w:ascii="仿宋" w:hAnsi="仿宋" w:eastAsia="仿宋" w:cs="仿宋"/>
          <w:spacing w:val="1"/>
          <w:w w:val="95"/>
          <w:sz w:val="30"/>
          <w:szCs w:val="30"/>
          <w:lang w:val="en-US" w:eastAsia="zh-CN" w:bidi="ar-SA"/>
        </w:rPr>
        <w:t>（2）比较法。是指通过对绩效目标与实施效果、历史与当期情况、不同部门和地区同类支出的比较，综合分析绩效目标实现程度。</w:t>
      </w:r>
    </w:p>
    <w:p w14:paraId="68564B19">
      <w:pPr>
        <w:pStyle w:val="2"/>
        <w:keepNext w:val="0"/>
        <w:keepLines w:val="0"/>
        <w:pageBreakBefore w:val="0"/>
        <w:widowControl w:val="0"/>
        <w:kinsoku/>
        <w:wordWrap/>
        <w:overflowPunct/>
        <w:topLinePunct w:val="0"/>
        <w:autoSpaceDE w:val="0"/>
        <w:autoSpaceDN w:val="0"/>
        <w:bidi w:val="0"/>
        <w:adjustRightInd/>
        <w:snapToGrid/>
        <w:spacing w:before="0" w:beforeLines="0" w:line="360" w:lineRule="auto"/>
        <w:ind w:left="0" w:leftChars="0" w:right="0" w:firstLine="574" w:firstLineChars="200"/>
        <w:jc w:val="both"/>
        <w:textAlignment w:val="auto"/>
        <w:rPr>
          <w:rFonts w:hint="eastAsia" w:ascii="仿宋" w:hAnsi="仿宋" w:eastAsia="仿宋" w:cs="仿宋"/>
          <w:spacing w:val="1"/>
          <w:w w:val="95"/>
          <w:sz w:val="30"/>
          <w:szCs w:val="30"/>
          <w:lang w:val="en-US" w:eastAsia="zh-CN" w:bidi="ar-SA"/>
        </w:rPr>
      </w:pPr>
      <w:r>
        <w:rPr>
          <w:rFonts w:hint="eastAsia" w:ascii="仿宋" w:hAnsi="仿宋" w:eastAsia="仿宋" w:cs="仿宋"/>
          <w:spacing w:val="1"/>
          <w:w w:val="95"/>
          <w:sz w:val="30"/>
          <w:szCs w:val="30"/>
          <w:lang w:val="en-US" w:eastAsia="zh-CN" w:bidi="ar-SA"/>
        </w:rPr>
        <w:t>（3）因素分析法。是指通过对综合分析影响绩效目标实现、实施效果的内外因素，评价绩效目标实现程度。</w:t>
      </w:r>
    </w:p>
    <w:p w14:paraId="487DB785">
      <w:pPr>
        <w:pStyle w:val="2"/>
        <w:keepNext w:val="0"/>
        <w:keepLines w:val="0"/>
        <w:pageBreakBefore w:val="0"/>
        <w:widowControl w:val="0"/>
        <w:kinsoku/>
        <w:wordWrap/>
        <w:overflowPunct/>
        <w:topLinePunct w:val="0"/>
        <w:autoSpaceDE w:val="0"/>
        <w:autoSpaceDN w:val="0"/>
        <w:bidi w:val="0"/>
        <w:adjustRightInd/>
        <w:snapToGrid/>
        <w:spacing w:before="0" w:beforeLines="0" w:line="360" w:lineRule="auto"/>
        <w:ind w:left="0" w:leftChars="0" w:right="0" w:firstLine="574" w:firstLineChars="200"/>
        <w:jc w:val="both"/>
        <w:textAlignment w:val="auto"/>
        <w:rPr>
          <w:rFonts w:hint="eastAsia" w:ascii="仿宋" w:hAnsi="仿宋" w:eastAsia="仿宋" w:cs="仿宋"/>
          <w:spacing w:val="1"/>
          <w:w w:val="95"/>
          <w:sz w:val="30"/>
          <w:szCs w:val="30"/>
          <w:lang w:val="en-US" w:eastAsia="zh-CN" w:bidi="ar-SA"/>
        </w:rPr>
      </w:pPr>
      <w:r>
        <w:rPr>
          <w:rFonts w:hint="eastAsia" w:ascii="仿宋" w:hAnsi="仿宋" w:eastAsia="仿宋" w:cs="仿宋"/>
          <w:spacing w:val="1"/>
          <w:w w:val="95"/>
          <w:sz w:val="30"/>
          <w:szCs w:val="30"/>
          <w:lang w:val="en-US" w:eastAsia="zh-CN" w:bidi="ar-SA"/>
        </w:rPr>
        <w:t>（4）公众评判法。是指通过专家评估、公众问卷及抽样调查方法等对财政支出效果进行评判，评价绩效目标实现程度。</w:t>
      </w:r>
    </w:p>
    <w:p w14:paraId="59D6E1FD">
      <w:pPr>
        <w:pStyle w:val="2"/>
        <w:keepNext w:val="0"/>
        <w:keepLines w:val="0"/>
        <w:pageBreakBefore w:val="0"/>
        <w:widowControl w:val="0"/>
        <w:kinsoku/>
        <w:wordWrap/>
        <w:overflowPunct/>
        <w:topLinePunct w:val="0"/>
        <w:autoSpaceDE w:val="0"/>
        <w:autoSpaceDN w:val="0"/>
        <w:bidi w:val="0"/>
        <w:adjustRightInd/>
        <w:snapToGrid/>
        <w:spacing w:before="0" w:beforeLines="0" w:line="360" w:lineRule="auto"/>
        <w:ind w:left="0" w:leftChars="0" w:right="0" w:firstLine="574" w:firstLineChars="200"/>
        <w:jc w:val="both"/>
        <w:textAlignment w:val="auto"/>
        <w:outlineLvl w:val="2"/>
        <w:rPr>
          <w:rFonts w:hint="eastAsia" w:ascii="仿宋" w:hAnsi="仿宋" w:eastAsia="仿宋" w:cs="仿宋"/>
          <w:spacing w:val="1"/>
          <w:w w:val="95"/>
          <w:sz w:val="30"/>
          <w:szCs w:val="30"/>
          <w:lang w:val="en-US" w:eastAsia="zh-CN" w:bidi="ar-SA"/>
        </w:rPr>
      </w:pPr>
      <w:bookmarkStart w:id="263" w:name="_Toc8983"/>
      <w:r>
        <w:rPr>
          <w:rFonts w:hint="eastAsia" w:ascii="仿宋" w:hAnsi="仿宋" w:eastAsia="仿宋" w:cs="仿宋"/>
          <w:spacing w:val="1"/>
          <w:w w:val="95"/>
          <w:sz w:val="30"/>
          <w:szCs w:val="30"/>
          <w:lang w:val="en-US" w:eastAsia="zh-CN" w:bidi="ar-SA"/>
        </w:rPr>
        <w:t>5.指标体系</w:t>
      </w:r>
      <w:bookmarkEnd w:id="263"/>
    </w:p>
    <w:p w14:paraId="6AD20A8B">
      <w:pPr>
        <w:pStyle w:val="2"/>
        <w:keepNext w:val="0"/>
        <w:keepLines w:val="0"/>
        <w:pageBreakBefore w:val="0"/>
        <w:widowControl w:val="0"/>
        <w:kinsoku/>
        <w:wordWrap/>
        <w:overflowPunct/>
        <w:topLinePunct w:val="0"/>
        <w:autoSpaceDE w:val="0"/>
        <w:autoSpaceDN w:val="0"/>
        <w:bidi w:val="0"/>
        <w:adjustRightInd/>
        <w:snapToGrid/>
        <w:spacing w:before="0" w:beforeLines="0" w:line="360" w:lineRule="auto"/>
        <w:ind w:left="0" w:leftChars="0" w:right="0" w:firstLine="574" w:firstLineChars="200"/>
        <w:jc w:val="both"/>
        <w:textAlignment w:val="auto"/>
        <w:rPr>
          <w:rFonts w:hint="eastAsia" w:ascii="仿宋" w:hAnsi="仿宋" w:eastAsia="仿宋" w:cs="仿宋"/>
          <w:spacing w:val="1"/>
          <w:w w:val="95"/>
          <w:sz w:val="30"/>
          <w:szCs w:val="30"/>
          <w:lang w:val="en-US" w:eastAsia="zh-CN" w:bidi="ar-SA"/>
        </w:rPr>
      </w:pPr>
      <w:r>
        <w:rPr>
          <w:rFonts w:hint="eastAsia" w:ascii="仿宋" w:hAnsi="仿宋" w:eastAsia="仿宋" w:cs="仿宋"/>
          <w:spacing w:val="1"/>
          <w:w w:val="95"/>
          <w:sz w:val="30"/>
          <w:szCs w:val="30"/>
          <w:lang w:val="en-US" w:eastAsia="zh-CN" w:bidi="ar-SA"/>
        </w:rPr>
        <w:t>本次整体预算评价指标体系分为两大部分，包含5个一级指标，即决策、过程、履职、效益和满意度，涵盖项目从管理实施至部门履职和取得效果的全过程，详见《南京市旅游形象推广中心2023年整体预算绩效评价指标体系得分情况表》。</w:t>
      </w:r>
    </w:p>
    <w:p w14:paraId="7DDC05F7">
      <w:pPr>
        <w:pStyle w:val="2"/>
        <w:keepNext w:val="0"/>
        <w:keepLines w:val="0"/>
        <w:pageBreakBefore w:val="0"/>
        <w:widowControl w:val="0"/>
        <w:kinsoku/>
        <w:wordWrap/>
        <w:overflowPunct/>
        <w:topLinePunct w:val="0"/>
        <w:autoSpaceDE w:val="0"/>
        <w:autoSpaceDN w:val="0"/>
        <w:bidi w:val="0"/>
        <w:adjustRightInd/>
        <w:snapToGrid/>
        <w:spacing w:before="0" w:beforeLines="0" w:line="360" w:lineRule="auto"/>
        <w:ind w:left="0" w:leftChars="0" w:right="0" w:firstLine="574" w:firstLineChars="200"/>
        <w:jc w:val="both"/>
        <w:textAlignment w:val="auto"/>
        <w:rPr>
          <w:rFonts w:hint="eastAsia" w:ascii="仿宋" w:hAnsi="仿宋" w:eastAsia="仿宋" w:cs="仿宋"/>
          <w:spacing w:val="1"/>
          <w:w w:val="95"/>
          <w:sz w:val="30"/>
          <w:szCs w:val="30"/>
          <w:lang w:val="en-US" w:eastAsia="zh-CN" w:bidi="ar-SA"/>
        </w:rPr>
      </w:pPr>
      <w:r>
        <w:rPr>
          <w:rFonts w:hint="eastAsia" w:ascii="仿宋" w:hAnsi="仿宋" w:eastAsia="仿宋" w:cs="仿宋"/>
          <w:spacing w:val="1"/>
          <w:w w:val="95"/>
          <w:sz w:val="30"/>
          <w:szCs w:val="30"/>
          <w:lang w:val="en-US" w:eastAsia="zh-CN" w:bidi="ar-SA"/>
        </w:rPr>
        <w:t>评价体系采取百分制的计分方式，其中决策、过程指标满分48分，该部分反映业务管理和资金管理等情况；履职、效益和满意度指标满分52分，该部分反映部门年度工作任务的实现情况。</w:t>
      </w:r>
    </w:p>
    <w:p w14:paraId="39948474">
      <w:pPr>
        <w:pStyle w:val="2"/>
        <w:keepNext w:val="0"/>
        <w:keepLines w:val="0"/>
        <w:pageBreakBefore w:val="0"/>
        <w:widowControl w:val="0"/>
        <w:numPr>
          <w:ilvl w:val="-1"/>
          <w:numId w:val="0"/>
        </w:numPr>
        <w:kinsoku/>
        <w:wordWrap/>
        <w:overflowPunct/>
        <w:topLinePunct w:val="0"/>
        <w:autoSpaceDE w:val="0"/>
        <w:autoSpaceDN w:val="0"/>
        <w:bidi w:val="0"/>
        <w:adjustRightInd/>
        <w:snapToGrid/>
        <w:spacing w:before="0" w:beforeLines="0" w:after="0" w:line="360" w:lineRule="auto"/>
        <w:ind w:left="440" w:leftChars="200" w:right="0" w:rightChars="0" w:firstLine="0" w:firstLineChars="0"/>
        <w:jc w:val="both"/>
        <w:textAlignment w:val="auto"/>
        <w:outlineLvl w:val="1"/>
        <w:rPr>
          <w:rFonts w:hint="eastAsia" w:ascii="仿宋" w:hAnsi="仿宋" w:eastAsia="仿宋" w:cs="仿宋"/>
          <w:snapToGrid w:val="0"/>
          <w:color w:val="000000"/>
          <w:kern w:val="0"/>
          <w:sz w:val="30"/>
          <w:szCs w:val="30"/>
          <w:lang w:val="en-US" w:eastAsia="zh-CN" w:bidi="ar-SA"/>
        </w:rPr>
      </w:pPr>
      <w:bookmarkStart w:id="264" w:name="（二）评价组织实施"/>
      <w:bookmarkEnd w:id="264"/>
      <w:bookmarkStart w:id="265" w:name="_Toc1115806473"/>
      <w:bookmarkStart w:id="266" w:name="_Toc814792521"/>
      <w:bookmarkStart w:id="267" w:name="_Toc1941778669"/>
      <w:bookmarkStart w:id="268" w:name="_Toc682578210"/>
      <w:bookmarkStart w:id="269" w:name="_Toc1572243825"/>
      <w:bookmarkStart w:id="270" w:name="_Toc910679274"/>
      <w:bookmarkStart w:id="271" w:name="_Toc842948210"/>
      <w:bookmarkStart w:id="272" w:name="_Toc1017639242"/>
      <w:bookmarkStart w:id="273" w:name="_Toc214458285"/>
      <w:bookmarkStart w:id="274" w:name="_Toc193254951"/>
      <w:bookmarkStart w:id="275" w:name="_Toc19247"/>
      <w:r>
        <w:rPr>
          <w:rFonts w:hint="eastAsia" w:ascii="仿宋" w:hAnsi="仿宋" w:eastAsia="仿宋" w:cs="仿宋"/>
          <w:snapToGrid w:val="0"/>
          <w:color w:val="000000"/>
          <w:kern w:val="0"/>
          <w:sz w:val="30"/>
          <w:szCs w:val="30"/>
          <w:lang w:val="en-US" w:eastAsia="zh-CN" w:bidi="ar-SA"/>
        </w:rPr>
        <w:t>（二）评价组织实施</w:t>
      </w:r>
      <w:bookmarkEnd w:id="265"/>
      <w:bookmarkEnd w:id="266"/>
      <w:bookmarkEnd w:id="267"/>
      <w:bookmarkEnd w:id="268"/>
      <w:bookmarkEnd w:id="269"/>
      <w:bookmarkEnd w:id="270"/>
      <w:bookmarkEnd w:id="271"/>
      <w:bookmarkEnd w:id="272"/>
      <w:bookmarkEnd w:id="273"/>
      <w:bookmarkEnd w:id="274"/>
      <w:bookmarkEnd w:id="275"/>
    </w:p>
    <w:p w14:paraId="04A13C2D">
      <w:pPr>
        <w:pStyle w:val="2"/>
        <w:keepNext w:val="0"/>
        <w:keepLines w:val="0"/>
        <w:pageBreakBefore w:val="0"/>
        <w:widowControl w:val="0"/>
        <w:kinsoku/>
        <w:wordWrap/>
        <w:overflowPunct/>
        <w:topLinePunct w:val="0"/>
        <w:autoSpaceDE w:val="0"/>
        <w:autoSpaceDN w:val="0"/>
        <w:bidi w:val="0"/>
        <w:adjustRightInd/>
        <w:snapToGrid/>
        <w:spacing w:before="0" w:beforeLines="0" w:line="360" w:lineRule="auto"/>
        <w:ind w:left="0" w:leftChars="0" w:right="0" w:firstLine="574" w:firstLineChars="200"/>
        <w:jc w:val="both"/>
        <w:textAlignment w:val="auto"/>
        <w:rPr>
          <w:rFonts w:hint="eastAsia" w:ascii="仿宋" w:hAnsi="仿宋" w:eastAsia="仿宋" w:cs="仿宋"/>
          <w:spacing w:val="1"/>
          <w:w w:val="95"/>
          <w:sz w:val="30"/>
          <w:szCs w:val="30"/>
          <w:lang w:val="en-US" w:eastAsia="zh-CN" w:bidi="ar-SA"/>
        </w:rPr>
      </w:pPr>
      <w:r>
        <w:rPr>
          <w:rFonts w:hint="eastAsia" w:ascii="仿宋" w:hAnsi="仿宋" w:eastAsia="仿宋" w:cs="仿宋"/>
          <w:spacing w:val="1"/>
          <w:w w:val="95"/>
          <w:sz w:val="30"/>
          <w:szCs w:val="30"/>
          <w:lang w:val="en-US" w:eastAsia="zh-CN" w:bidi="ar-SA"/>
        </w:rPr>
        <w:t>2023年度南京市旅游形象推广中心整体预算绩效评价通过前期准备、组织实施、综合评价三个阶段实施具体的评价工作。</w:t>
      </w:r>
    </w:p>
    <w:p w14:paraId="0D411A4C">
      <w:pPr>
        <w:pStyle w:val="2"/>
        <w:keepNext w:val="0"/>
        <w:keepLines w:val="0"/>
        <w:pageBreakBefore w:val="0"/>
        <w:widowControl w:val="0"/>
        <w:kinsoku/>
        <w:wordWrap/>
        <w:overflowPunct/>
        <w:topLinePunct w:val="0"/>
        <w:autoSpaceDE w:val="0"/>
        <w:autoSpaceDN w:val="0"/>
        <w:bidi w:val="0"/>
        <w:adjustRightInd/>
        <w:snapToGrid/>
        <w:spacing w:before="0" w:beforeLines="0" w:line="360" w:lineRule="auto"/>
        <w:ind w:left="0" w:leftChars="0" w:right="0" w:firstLine="574" w:firstLineChars="200"/>
        <w:jc w:val="both"/>
        <w:textAlignment w:val="auto"/>
        <w:rPr>
          <w:rFonts w:hint="eastAsia" w:ascii="仿宋" w:hAnsi="仿宋" w:eastAsia="仿宋" w:cs="仿宋"/>
          <w:spacing w:val="1"/>
          <w:w w:val="95"/>
          <w:sz w:val="30"/>
          <w:szCs w:val="30"/>
          <w:lang w:val="en-US" w:eastAsia="zh-CN" w:bidi="ar-SA"/>
        </w:rPr>
      </w:pPr>
      <w:r>
        <w:rPr>
          <w:rFonts w:hint="eastAsia" w:ascii="仿宋" w:hAnsi="仿宋" w:eastAsia="仿宋" w:cs="仿宋"/>
          <w:spacing w:val="1"/>
          <w:w w:val="95"/>
          <w:sz w:val="30"/>
          <w:szCs w:val="30"/>
          <w:lang w:val="en-US" w:eastAsia="zh-CN" w:bidi="ar-SA"/>
        </w:rPr>
        <w:t>1.前期准备阶段（2024年5月6日至5月10日）</w:t>
      </w:r>
    </w:p>
    <w:p w14:paraId="19152D65">
      <w:pPr>
        <w:pStyle w:val="2"/>
        <w:keepNext w:val="0"/>
        <w:keepLines w:val="0"/>
        <w:pageBreakBefore w:val="0"/>
        <w:widowControl w:val="0"/>
        <w:kinsoku/>
        <w:wordWrap/>
        <w:overflowPunct/>
        <w:topLinePunct w:val="0"/>
        <w:autoSpaceDE w:val="0"/>
        <w:autoSpaceDN w:val="0"/>
        <w:bidi w:val="0"/>
        <w:adjustRightInd/>
        <w:snapToGrid/>
        <w:spacing w:before="0" w:beforeLines="0" w:line="360" w:lineRule="auto"/>
        <w:ind w:left="0" w:leftChars="0" w:right="0" w:firstLine="574" w:firstLineChars="200"/>
        <w:jc w:val="both"/>
        <w:textAlignment w:val="auto"/>
        <w:rPr>
          <w:rFonts w:hint="eastAsia" w:ascii="仿宋" w:hAnsi="仿宋" w:eastAsia="仿宋" w:cs="仿宋"/>
          <w:spacing w:val="1"/>
          <w:w w:val="95"/>
          <w:sz w:val="30"/>
          <w:szCs w:val="30"/>
          <w:lang w:val="en-US" w:eastAsia="zh-CN" w:bidi="ar-SA"/>
        </w:rPr>
      </w:pPr>
      <w:r>
        <w:rPr>
          <w:rFonts w:hint="eastAsia" w:ascii="仿宋" w:hAnsi="仿宋" w:eastAsia="仿宋" w:cs="仿宋"/>
          <w:spacing w:val="1"/>
          <w:w w:val="95"/>
          <w:sz w:val="30"/>
          <w:szCs w:val="30"/>
          <w:lang w:val="en-US" w:eastAsia="zh-CN" w:bidi="ar-SA"/>
        </w:rPr>
        <w:t>组建绩效评价工作小组，进入项目实施单位，开展调查研究、分析论证并形成绩效评价工作方案。同时，搜集有关文件资料，结合单位职能，设计了基础数据调查表，为后期的数据获取、现场核查做了充分的准备。</w:t>
      </w:r>
    </w:p>
    <w:p w14:paraId="04BF2649">
      <w:pPr>
        <w:pStyle w:val="2"/>
        <w:keepNext w:val="0"/>
        <w:keepLines w:val="0"/>
        <w:pageBreakBefore w:val="0"/>
        <w:widowControl w:val="0"/>
        <w:kinsoku/>
        <w:wordWrap/>
        <w:overflowPunct/>
        <w:topLinePunct w:val="0"/>
        <w:autoSpaceDE w:val="0"/>
        <w:autoSpaceDN w:val="0"/>
        <w:bidi w:val="0"/>
        <w:adjustRightInd/>
        <w:snapToGrid/>
        <w:spacing w:before="0" w:beforeLines="0" w:line="360" w:lineRule="auto"/>
        <w:ind w:left="0" w:leftChars="0" w:right="0" w:firstLine="574" w:firstLineChars="200"/>
        <w:jc w:val="both"/>
        <w:textAlignment w:val="auto"/>
        <w:rPr>
          <w:rFonts w:hint="eastAsia" w:ascii="仿宋" w:hAnsi="仿宋" w:eastAsia="仿宋" w:cs="仿宋"/>
          <w:spacing w:val="1"/>
          <w:w w:val="95"/>
          <w:sz w:val="30"/>
          <w:szCs w:val="30"/>
          <w:lang w:val="en-US" w:eastAsia="zh-CN" w:bidi="ar-SA"/>
        </w:rPr>
      </w:pPr>
      <w:r>
        <w:rPr>
          <w:rFonts w:hint="eastAsia" w:ascii="仿宋" w:hAnsi="仿宋" w:eastAsia="仿宋" w:cs="仿宋"/>
          <w:spacing w:val="1"/>
          <w:w w:val="95"/>
          <w:sz w:val="30"/>
          <w:szCs w:val="30"/>
          <w:lang w:val="en-US" w:eastAsia="zh-CN" w:bidi="ar-SA"/>
        </w:rPr>
        <w:t>2.组织实施阶段（2024年5月20日至5月30日）</w:t>
      </w:r>
    </w:p>
    <w:p w14:paraId="0008FFC8">
      <w:pPr>
        <w:pStyle w:val="2"/>
        <w:keepNext w:val="0"/>
        <w:keepLines w:val="0"/>
        <w:pageBreakBefore w:val="0"/>
        <w:widowControl w:val="0"/>
        <w:kinsoku/>
        <w:wordWrap/>
        <w:overflowPunct/>
        <w:topLinePunct w:val="0"/>
        <w:autoSpaceDE w:val="0"/>
        <w:autoSpaceDN w:val="0"/>
        <w:bidi w:val="0"/>
        <w:adjustRightInd/>
        <w:snapToGrid/>
        <w:spacing w:before="0" w:beforeLines="0" w:line="360" w:lineRule="auto"/>
        <w:ind w:left="0" w:leftChars="0" w:right="0" w:firstLine="574" w:firstLineChars="200"/>
        <w:jc w:val="both"/>
        <w:textAlignment w:val="auto"/>
        <w:rPr>
          <w:rFonts w:hint="eastAsia" w:ascii="仿宋" w:hAnsi="仿宋" w:eastAsia="仿宋" w:cs="仿宋"/>
          <w:spacing w:val="1"/>
          <w:w w:val="95"/>
          <w:sz w:val="30"/>
          <w:szCs w:val="30"/>
          <w:lang w:val="en-US" w:eastAsia="zh-CN" w:bidi="ar-SA"/>
        </w:rPr>
      </w:pPr>
      <w:r>
        <w:rPr>
          <w:rFonts w:hint="eastAsia" w:ascii="仿宋" w:hAnsi="仿宋" w:eastAsia="仿宋" w:cs="仿宋"/>
          <w:spacing w:val="1"/>
          <w:w w:val="95"/>
          <w:sz w:val="30"/>
          <w:szCs w:val="30"/>
          <w:lang w:val="en-US" w:eastAsia="zh-CN" w:bidi="ar-SA"/>
        </w:rPr>
        <w:t>绩效评价工作小组对单位情况进行核查，核查内容包括绩效评价基础数据调查表的收集核对。评价人员对各部门相关人员进行访谈，了解各项工作安排、进展情况；对单位基础数据和资料的真实性、准确性进行核实等方面的内容。</w:t>
      </w:r>
    </w:p>
    <w:p w14:paraId="1B46111C">
      <w:pPr>
        <w:pStyle w:val="2"/>
        <w:keepNext w:val="0"/>
        <w:keepLines w:val="0"/>
        <w:pageBreakBefore w:val="0"/>
        <w:widowControl w:val="0"/>
        <w:kinsoku/>
        <w:wordWrap/>
        <w:overflowPunct/>
        <w:topLinePunct w:val="0"/>
        <w:autoSpaceDE w:val="0"/>
        <w:autoSpaceDN w:val="0"/>
        <w:bidi w:val="0"/>
        <w:adjustRightInd/>
        <w:snapToGrid/>
        <w:spacing w:before="0" w:beforeLines="0" w:line="360" w:lineRule="auto"/>
        <w:ind w:left="0" w:leftChars="0" w:right="0" w:firstLine="574" w:firstLineChars="200"/>
        <w:jc w:val="both"/>
        <w:textAlignment w:val="auto"/>
        <w:rPr>
          <w:rFonts w:hint="eastAsia" w:ascii="仿宋" w:hAnsi="仿宋" w:eastAsia="仿宋" w:cs="仿宋"/>
          <w:spacing w:val="1"/>
          <w:w w:val="95"/>
          <w:sz w:val="30"/>
          <w:szCs w:val="30"/>
          <w:lang w:val="en-US" w:eastAsia="zh-CN" w:bidi="ar-SA"/>
        </w:rPr>
      </w:pPr>
      <w:r>
        <w:rPr>
          <w:rFonts w:hint="eastAsia" w:ascii="仿宋" w:hAnsi="仿宋" w:eastAsia="仿宋" w:cs="仿宋"/>
          <w:spacing w:val="1"/>
          <w:w w:val="95"/>
          <w:sz w:val="30"/>
          <w:szCs w:val="30"/>
          <w:lang w:val="en-US" w:eastAsia="zh-CN" w:bidi="ar-SA"/>
        </w:rPr>
        <w:t>3.综合评价阶段（2024年6月1日至6月15日）</w:t>
      </w:r>
    </w:p>
    <w:p w14:paraId="3E512F4C">
      <w:pPr>
        <w:pStyle w:val="2"/>
        <w:keepNext w:val="0"/>
        <w:keepLines w:val="0"/>
        <w:pageBreakBefore w:val="0"/>
        <w:widowControl w:val="0"/>
        <w:kinsoku/>
        <w:wordWrap/>
        <w:overflowPunct/>
        <w:topLinePunct w:val="0"/>
        <w:autoSpaceDE w:val="0"/>
        <w:autoSpaceDN w:val="0"/>
        <w:bidi w:val="0"/>
        <w:adjustRightInd/>
        <w:snapToGrid/>
        <w:spacing w:before="0" w:beforeLines="0" w:line="360" w:lineRule="auto"/>
        <w:ind w:left="0" w:leftChars="0" w:right="0" w:firstLine="574" w:firstLineChars="200"/>
        <w:jc w:val="both"/>
        <w:textAlignment w:val="auto"/>
        <w:rPr>
          <w:rFonts w:hint="eastAsia" w:ascii="仿宋" w:hAnsi="仿宋" w:eastAsia="仿宋" w:cs="仿宋"/>
          <w:spacing w:val="1"/>
          <w:w w:val="95"/>
          <w:sz w:val="30"/>
          <w:szCs w:val="30"/>
          <w:lang w:val="en-US" w:eastAsia="zh-CN" w:bidi="ar-SA"/>
        </w:rPr>
      </w:pPr>
      <w:r>
        <w:rPr>
          <w:rFonts w:hint="eastAsia" w:ascii="仿宋" w:hAnsi="仿宋" w:eastAsia="仿宋" w:cs="仿宋"/>
          <w:spacing w:val="1"/>
          <w:w w:val="95"/>
          <w:sz w:val="30"/>
          <w:szCs w:val="30"/>
          <w:lang w:val="en-US" w:eastAsia="zh-CN" w:bidi="ar-SA"/>
        </w:rPr>
        <w:t>绩效评价工作小组整理分析获取的基础数据、调查问卷等资料，综合书面评审意见和现场评价结论等情况，依据制定的评价标准进行了评价指标打分，以定量和定性相结合的评价方法完成绩效评价报告。</w:t>
      </w:r>
    </w:p>
    <w:p w14:paraId="7DEA31C4">
      <w:pPr>
        <w:pStyle w:val="2"/>
        <w:keepNext w:val="0"/>
        <w:keepLines w:val="0"/>
        <w:pageBreakBefore w:val="0"/>
        <w:widowControl w:val="0"/>
        <w:kinsoku/>
        <w:wordWrap/>
        <w:overflowPunct/>
        <w:topLinePunct w:val="0"/>
        <w:autoSpaceDE w:val="0"/>
        <w:autoSpaceDN w:val="0"/>
        <w:bidi w:val="0"/>
        <w:adjustRightInd/>
        <w:snapToGrid/>
        <w:spacing w:before="26" w:line="360" w:lineRule="auto"/>
        <w:ind w:left="221" w:right="0" w:firstLine="640" w:firstLineChars="200"/>
        <w:jc w:val="both"/>
        <w:textAlignment w:val="auto"/>
        <w:rPr>
          <w:rFonts w:hint="eastAsia" w:ascii="仿宋" w:hAnsi="仿宋" w:eastAsia="仿宋" w:cs="仿宋"/>
          <w:sz w:val="32"/>
          <w:szCs w:val="32"/>
        </w:rPr>
      </w:pPr>
    </w:p>
    <w:p w14:paraId="55F102BE">
      <w:pPr>
        <w:pStyle w:val="3"/>
        <w:keepNext w:val="0"/>
        <w:keepLines w:val="0"/>
        <w:pageBreakBefore w:val="0"/>
        <w:widowControl w:val="0"/>
        <w:kinsoku/>
        <w:wordWrap/>
        <w:overflowPunct/>
        <w:topLinePunct w:val="0"/>
        <w:autoSpaceDE w:val="0"/>
        <w:autoSpaceDN w:val="0"/>
        <w:bidi w:val="0"/>
        <w:adjustRightInd/>
        <w:snapToGrid/>
        <w:spacing w:line="360" w:lineRule="auto"/>
        <w:ind w:left="221" w:right="0"/>
        <w:jc w:val="both"/>
        <w:textAlignment w:val="auto"/>
        <w:outlineLvl w:val="0"/>
        <w:rPr>
          <w:rFonts w:hint="eastAsia" w:ascii="仿宋" w:hAnsi="仿宋" w:eastAsia="仿宋" w:cs="仿宋"/>
          <w:b/>
          <w:bCs/>
          <w:spacing w:val="1"/>
          <w:w w:val="95"/>
          <w:sz w:val="30"/>
          <w:szCs w:val="30"/>
          <w:lang w:val="en-US" w:eastAsia="zh-CN" w:bidi="ar-SA"/>
        </w:rPr>
      </w:pPr>
      <w:bookmarkStart w:id="276" w:name="附件：绩效评价指标体系得分情况表"/>
      <w:bookmarkEnd w:id="276"/>
      <w:bookmarkStart w:id="277" w:name="_Toc234333196"/>
      <w:bookmarkStart w:id="278" w:name="_Toc2063174087"/>
      <w:bookmarkStart w:id="279" w:name="_Toc670605949"/>
      <w:bookmarkStart w:id="280" w:name="_Toc1040687193"/>
      <w:bookmarkStart w:id="281" w:name="_Toc1532186107"/>
      <w:bookmarkStart w:id="282" w:name="_Toc480946211"/>
      <w:bookmarkStart w:id="283" w:name="_Toc902975586"/>
      <w:bookmarkStart w:id="284" w:name="_Toc165106424"/>
      <w:bookmarkStart w:id="285" w:name="_Toc30598"/>
      <w:bookmarkStart w:id="286" w:name="_Toc922836329"/>
      <w:bookmarkStart w:id="287" w:name="_Toc1862167175"/>
      <w:r>
        <w:rPr>
          <w:rFonts w:hint="eastAsia" w:ascii="仿宋" w:hAnsi="仿宋" w:eastAsia="仿宋" w:cs="仿宋"/>
          <w:b/>
          <w:bCs/>
          <w:spacing w:val="1"/>
          <w:w w:val="95"/>
          <w:sz w:val="30"/>
          <w:szCs w:val="30"/>
          <w:lang w:val="en-US" w:eastAsia="zh-CN" w:bidi="ar-SA"/>
        </w:rPr>
        <w:t>附件：绩效评价指标体系得分情况表</w:t>
      </w:r>
      <w:bookmarkEnd w:id="277"/>
      <w:bookmarkEnd w:id="278"/>
      <w:bookmarkEnd w:id="279"/>
      <w:bookmarkEnd w:id="280"/>
      <w:bookmarkEnd w:id="281"/>
      <w:bookmarkEnd w:id="282"/>
      <w:bookmarkEnd w:id="283"/>
      <w:bookmarkEnd w:id="284"/>
      <w:bookmarkEnd w:id="285"/>
      <w:bookmarkEnd w:id="286"/>
      <w:bookmarkEnd w:id="287"/>
    </w:p>
    <w:p w14:paraId="5CA930CB">
      <w:pPr>
        <w:keepNext w:val="0"/>
        <w:keepLines w:val="0"/>
        <w:pageBreakBefore w:val="0"/>
        <w:widowControl w:val="0"/>
        <w:kinsoku/>
        <w:wordWrap/>
        <w:overflowPunct/>
        <w:topLinePunct w:val="0"/>
        <w:autoSpaceDE w:val="0"/>
        <w:autoSpaceDN w:val="0"/>
        <w:bidi w:val="0"/>
        <w:adjustRightInd/>
        <w:snapToGrid/>
        <w:spacing w:after="0"/>
        <w:ind w:left="221" w:right="0"/>
        <w:jc w:val="both"/>
        <w:textAlignment w:val="auto"/>
        <w:rPr>
          <w:rFonts w:hint="eastAsia" w:ascii="仿宋" w:hAnsi="仿宋" w:eastAsia="仿宋" w:cs="仿宋"/>
        </w:rPr>
        <w:sectPr>
          <w:footerReference r:id="rId6" w:type="default"/>
          <w:pgSz w:w="11910" w:h="16840"/>
          <w:pgMar w:top="1440" w:right="1800" w:bottom="1440" w:left="1800" w:header="0" w:footer="1197" w:gutter="0"/>
          <w:pgBorders>
            <w:top w:val="none" w:sz="0" w:space="0"/>
            <w:left w:val="none" w:sz="0" w:space="0"/>
            <w:bottom w:val="none" w:sz="0" w:space="0"/>
            <w:right w:val="none" w:sz="0" w:space="0"/>
          </w:pgBorders>
          <w:pgNumType w:start="1"/>
          <w:cols w:space="720" w:num="1"/>
        </w:sectPr>
      </w:pPr>
    </w:p>
    <w:p w14:paraId="4360231C">
      <w:pPr>
        <w:pStyle w:val="2"/>
        <w:spacing w:before="0"/>
        <w:ind w:left="0"/>
        <w:rPr>
          <w:rFonts w:hint="eastAsia" w:ascii="仿宋" w:hAnsi="仿宋" w:eastAsia="仿宋" w:cs="仿宋"/>
          <w:b/>
          <w:sz w:val="20"/>
        </w:rPr>
      </w:pPr>
    </w:p>
    <w:p w14:paraId="75BD12B1">
      <w:pPr>
        <w:spacing w:before="67"/>
        <w:ind w:left="221" w:right="0" w:firstLine="0"/>
        <w:jc w:val="left"/>
        <w:outlineLvl w:val="9"/>
        <w:rPr>
          <w:rFonts w:hint="eastAsia" w:ascii="仿宋" w:hAnsi="仿宋" w:eastAsia="仿宋" w:cs="仿宋"/>
          <w:b/>
          <w:sz w:val="30"/>
          <w:szCs w:val="30"/>
        </w:rPr>
      </w:pPr>
      <w:bookmarkStart w:id="288" w:name="_Toc17038847"/>
      <w:bookmarkStart w:id="289" w:name="_Toc394796244"/>
      <w:bookmarkStart w:id="290" w:name="_Toc1722831583"/>
      <w:bookmarkStart w:id="291" w:name="_Toc3234"/>
      <w:bookmarkStart w:id="292" w:name="_Toc2100500221"/>
      <w:bookmarkStart w:id="293" w:name="_Toc19888"/>
      <w:bookmarkStart w:id="294" w:name="_Toc975489172"/>
      <w:r>
        <w:rPr>
          <w:rFonts w:hint="eastAsia" w:ascii="仿宋" w:hAnsi="仿宋" w:eastAsia="仿宋" w:cs="仿宋"/>
          <w:b/>
          <w:w w:val="95"/>
          <w:sz w:val="30"/>
          <w:szCs w:val="30"/>
        </w:rPr>
        <w:t>附件</w:t>
      </w:r>
      <w:bookmarkEnd w:id="288"/>
      <w:bookmarkEnd w:id="289"/>
      <w:bookmarkEnd w:id="290"/>
      <w:bookmarkEnd w:id="291"/>
      <w:bookmarkEnd w:id="292"/>
      <w:bookmarkEnd w:id="293"/>
      <w:bookmarkEnd w:id="294"/>
    </w:p>
    <w:p w14:paraId="42DE135E">
      <w:pPr>
        <w:keepNext w:val="0"/>
        <w:keepLines w:val="0"/>
        <w:pageBreakBefore w:val="0"/>
        <w:widowControl w:val="0"/>
        <w:kinsoku/>
        <w:wordWrap/>
        <w:overflowPunct/>
        <w:topLinePunct w:val="0"/>
        <w:autoSpaceDE w:val="0"/>
        <w:autoSpaceDN w:val="0"/>
        <w:bidi w:val="0"/>
        <w:adjustRightInd/>
        <w:snapToGrid/>
        <w:spacing w:before="113" w:after="0" w:afterLines="100"/>
        <w:ind w:left="2925" w:right="2494" w:firstLine="0"/>
        <w:jc w:val="center"/>
        <w:textAlignment w:val="auto"/>
        <w:rPr>
          <w:rFonts w:hint="eastAsia"/>
        </w:rPr>
      </w:pPr>
      <w:r>
        <w:rPr>
          <w:rFonts w:hint="eastAsia" w:ascii="仿宋" w:hAnsi="仿宋" w:eastAsia="仿宋" w:cs="仿宋"/>
          <w:sz w:val="28"/>
          <w:lang w:eastAsia="zh-CN"/>
        </w:rPr>
        <w:t>202</w:t>
      </w:r>
      <w:r>
        <w:rPr>
          <w:rFonts w:hint="eastAsia" w:ascii="仿宋" w:hAnsi="仿宋" w:eastAsia="仿宋" w:cs="仿宋"/>
          <w:sz w:val="28"/>
          <w:lang w:val="en-US" w:eastAsia="zh-CN"/>
        </w:rPr>
        <w:t>3</w:t>
      </w:r>
      <w:r>
        <w:rPr>
          <w:rFonts w:hint="eastAsia" w:ascii="仿宋" w:hAnsi="仿宋" w:eastAsia="仿宋" w:cs="仿宋"/>
          <w:b/>
          <w:sz w:val="28"/>
        </w:rPr>
        <w:t>年度南京市旅游形象推广中心整体预算绩效评价指标体系得分情况表</w:t>
      </w:r>
    </w:p>
    <w:p w14:paraId="451C5300">
      <w:pPr>
        <w:pStyle w:val="2"/>
        <w:spacing w:before="4"/>
        <w:ind w:left="0"/>
        <w:rPr>
          <w:rFonts w:hint="eastAsia" w:ascii="仿宋" w:hAnsi="仿宋" w:eastAsia="仿宋" w:cs="仿宋"/>
          <w:b/>
          <w:sz w:val="10"/>
        </w:rPr>
      </w:pPr>
    </w:p>
    <w:tbl>
      <w:tblPr>
        <w:tblStyle w:val="9"/>
        <w:tblW w:w="1432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9"/>
        <w:gridCol w:w="730"/>
        <w:gridCol w:w="1509"/>
        <w:gridCol w:w="1147"/>
        <w:gridCol w:w="2689"/>
        <w:gridCol w:w="789"/>
        <w:gridCol w:w="4744"/>
        <w:gridCol w:w="1011"/>
        <w:gridCol w:w="1000"/>
      </w:tblGrid>
      <w:tr w14:paraId="4632D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blHeader/>
        </w:trPr>
        <w:tc>
          <w:tcPr>
            <w:tcW w:w="70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7FB42AA">
            <w:pPr>
              <w:keepNext w:val="0"/>
              <w:keepLines w:val="0"/>
              <w:widowControl/>
              <w:suppressLineNumbers w:val="0"/>
              <w:jc w:val="center"/>
              <w:textAlignment w:val="center"/>
              <w:rPr>
                <w:rFonts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一级指标</w:t>
            </w:r>
          </w:p>
        </w:tc>
        <w:tc>
          <w:tcPr>
            <w:tcW w:w="7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1CFD3E">
            <w:pPr>
              <w:keepNext w:val="0"/>
              <w:keepLines w:val="0"/>
              <w:widowControl/>
              <w:suppressLineNumbers w:val="0"/>
              <w:jc w:val="left"/>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二级指标</w:t>
            </w:r>
          </w:p>
        </w:tc>
        <w:tc>
          <w:tcPr>
            <w:tcW w:w="150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BEC21CC">
            <w:pPr>
              <w:keepNext w:val="0"/>
              <w:keepLines w:val="0"/>
              <w:widowControl/>
              <w:suppressLineNumbers w:val="0"/>
              <w:jc w:val="left"/>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三级指标</w:t>
            </w:r>
          </w:p>
        </w:tc>
        <w:tc>
          <w:tcPr>
            <w:tcW w:w="11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D5B5E53">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指标值</w:t>
            </w:r>
          </w:p>
        </w:tc>
        <w:tc>
          <w:tcPr>
            <w:tcW w:w="26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8C65E6E">
            <w:pPr>
              <w:keepNext w:val="0"/>
              <w:keepLines w:val="0"/>
              <w:widowControl/>
              <w:suppressLineNumbers w:val="0"/>
              <w:jc w:val="left"/>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指标解释</w:t>
            </w:r>
          </w:p>
        </w:tc>
        <w:tc>
          <w:tcPr>
            <w:tcW w:w="7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3DEBB9">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权重</w:t>
            </w:r>
          </w:p>
        </w:tc>
        <w:tc>
          <w:tcPr>
            <w:tcW w:w="47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182B35D">
            <w:pPr>
              <w:keepNext w:val="0"/>
              <w:keepLines w:val="0"/>
              <w:widowControl/>
              <w:suppressLineNumbers w:val="0"/>
              <w:jc w:val="left"/>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评分标准</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17576A6">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实际值</w:t>
            </w:r>
          </w:p>
        </w:tc>
        <w:tc>
          <w:tcPr>
            <w:tcW w:w="10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4870855">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得分</w:t>
            </w:r>
          </w:p>
        </w:tc>
      </w:tr>
      <w:tr w14:paraId="5F8BE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5" w:hRule="atLeast"/>
        </w:trPr>
        <w:tc>
          <w:tcPr>
            <w:tcW w:w="70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78A64E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决策</w:t>
            </w:r>
          </w:p>
        </w:tc>
        <w:tc>
          <w:tcPr>
            <w:tcW w:w="73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25E1B19">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计划制定</w:t>
            </w:r>
          </w:p>
        </w:tc>
        <w:tc>
          <w:tcPr>
            <w:tcW w:w="150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27CE139">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工作计划制定健全性</w:t>
            </w:r>
          </w:p>
        </w:tc>
        <w:tc>
          <w:tcPr>
            <w:tcW w:w="11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09476A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健全</w:t>
            </w:r>
          </w:p>
        </w:tc>
        <w:tc>
          <w:tcPr>
            <w:tcW w:w="26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911F0E">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部门（单位）本年度工作计划是否明确，用以反映和考察工作计划制定情况的健全程度。</w:t>
            </w:r>
          </w:p>
        </w:tc>
        <w:tc>
          <w:tcPr>
            <w:tcW w:w="7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5B84E2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 </w:t>
            </w:r>
          </w:p>
        </w:tc>
        <w:tc>
          <w:tcPr>
            <w:tcW w:w="47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7745876">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1.是否有明确的工作计划制定，工作计划制定得1/2权重分；</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2.工作计划与实际工作内容是否具有相关性；相关得1/2权重分。</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8C604A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健全</w:t>
            </w:r>
          </w:p>
        </w:tc>
        <w:tc>
          <w:tcPr>
            <w:tcW w:w="10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4114D0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1.00 </w:t>
            </w:r>
          </w:p>
        </w:tc>
      </w:tr>
      <w:tr w14:paraId="5A277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5" w:hRule="atLeast"/>
        </w:trPr>
        <w:tc>
          <w:tcPr>
            <w:tcW w:w="70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531BF40">
            <w:pPr>
              <w:jc w:val="center"/>
              <w:rPr>
                <w:rFonts w:hint="eastAsia" w:ascii="仿宋" w:hAnsi="仿宋" w:eastAsia="仿宋" w:cs="仿宋"/>
                <w:i w:val="0"/>
                <w:iCs w:val="0"/>
                <w:color w:val="000000"/>
                <w:sz w:val="22"/>
                <w:szCs w:val="22"/>
                <w:u w:val="none"/>
              </w:rPr>
            </w:pPr>
          </w:p>
        </w:tc>
        <w:tc>
          <w:tcPr>
            <w:tcW w:w="73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4FFED2B">
            <w:pPr>
              <w:jc w:val="left"/>
              <w:rPr>
                <w:rFonts w:hint="eastAsia" w:ascii="仿宋" w:hAnsi="仿宋" w:eastAsia="仿宋" w:cs="仿宋"/>
                <w:i w:val="0"/>
                <w:iCs w:val="0"/>
                <w:color w:val="000000"/>
                <w:sz w:val="22"/>
                <w:szCs w:val="22"/>
                <w:u w:val="none"/>
              </w:rPr>
            </w:pPr>
          </w:p>
        </w:tc>
        <w:tc>
          <w:tcPr>
            <w:tcW w:w="150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115C44">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中长期规划制定健全性</w:t>
            </w:r>
          </w:p>
        </w:tc>
        <w:tc>
          <w:tcPr>
            <w:tcW w:w="11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1ABC1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健全</w:t>
            </w:r>
          </w:p>
        </w:tc>
        <w:tc>
          <w:tcPr>
            <w:tcW w:w="26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EB00F06">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部门（单位）是否有明确的中长期规划，用以反映和考察中长期规划的健全情况。</w:t>
            </w:r>
          </w:p>
        </w:tc>
        <w:tc>
          <w:tcPr>
            <w:tcW w:w="7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1D069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 </w:t>
            </w:r>
          </w:p>
        </w:tc>
        <w:tc>
          <w:tcPr>
            <w:tcW w:w="47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A95A276">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1.考察部门是否制定了明确的中长期规划，包括总体目标、工作内容、时间进度等，部门规划是否涵盖了部门全部职能，并与部门职能相匹配；</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2、考察部门是否具有明确的年度工作计划，包括总体目标、实施内容、时间、资金、人员等，年度工作计划是否与部门中长期战略相衔接；                                                 3.计划、目标是否与社会需求相匹配。</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以上评价要点各占1/3权重，每个要点执行情况分好、中、差三档，按100%-80%（含）、80%-60%（含）、60%-0%评分。</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ACBFB6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健全</w:t>
            </w:r>
          </w:p>
        </w:tc>
        <w:tc>
          <w:tcPr>
            <w:tcW w:w="10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70A724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1.00 </w:t>
            </w:r>
          </w:p>
        </w:tc>
      </w:tr>
      <w:tr w14:paraId="7D908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15" w:hRule="atLeast"/>
        </w:trPr>
        <w:tc>
          <w:tcPr>
            <w:tcW w:w="70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542B7D8">
            <w:pPr>
              <w:jc w:val="center"/>
              <w:rPr>
                <w:rFonts w:hint="eastAsia" w:ascii="仿宋" w:hAnsi="仿宋" w:eastAsia="仿宋" w:cs="仿宋"/>
                <w:i w:val="0"/>
                <w:iCs w:val="0"/>
                <w:color w:val="000000"/>
                <w:sz w:val="22"/>
                <w:szCs w:val="22"/>
                <w:u w:val="none"/>
              </w:rPr>
            </w:pPr>
          </w:p>
        </w:tc>
        <w:tc>
          <w:tcPr>
            <w:tcW w:w="73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A6DCD5A">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目标设定</w:t>
            </w:r>
          </w:p>
        </w:tc>
        <w:tc>
          <w:tcPr>
            <w:tcW w:w="150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4498EF">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绩效目标合理性</w:t>
            </w:r>
          </w:p>
        </w:tc>
        <w:tc>
          <w:tcPr>
            <w:tcW w:w="11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6EAA9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合理</w:t>
            </w:r>
          </w:p>
        </w:tc>
        <w:tc>
          <w:tcPr>
            <w:tcW w:w="26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BC910AA">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项目所设定的绩效目标是否依据充分，是否符合客观实际，用以反映和考核项目绩效目标与项目实施的相符情况。</w:t>
            </w:r>
          </w:p>
        </w:tc>
        <w:tc>
          <w:tcPr>
            <w:tcW w:w="7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B27FE8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 </w:t>
            </w:r>
          </w:p>
        </w:tc>
        <w:tc>
          <w:tcPr>
            <w:tcW w:w="47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0F540DB">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1.是否符合国家法律法规、国民经济和社会发展总体规划、部门“三定”方案确定的职责；</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2.是否符合部门制定的中长期规划和年度工作计划；</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 xml:space="preserve">3.是否与社会需求相匹配；             </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4.是否与本年度部门预算资金相匹配。</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以上评价要点各占1/4权重，每个要点执行情况分好、中、差三档，按100%-80%（含）、80%-60%（含）、60%-0%评分。</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380A19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合理</w:t>
            </w:r>
          </w:p>
        </w:tc>
        <w:tc>
          <w:tcPr>
            <w:tcW w:w="10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0533F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2.00 </w:t>
            </w:r>
          </w:p>
        </w:tc>
      </w:tr>
      <w:tr w14:paraId="7D512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45" w:hRule="atLeast"/>
        </w:trPr>
        <w:tc>
          <w:tcPr>
            <w:tcW w:w="70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8905104">
            <w:pPr>
              <w:jc w:val="center"/>
              <w:rPr>
                <w:rFonts w:hint="eastAsia" w:ascii="仿宋" w:hAnsi="仿宋" w:eastAsia="仿宋" w:cs="仿宋"/>
                <w:i w:val="0"/>
                <w:iCs w:val="0"/>
                <w:color w:val="000000"/>
                <w:sz w:val="22"/>
                <w:szCs w:val="22"/>
                <w:u w:val="none"/>
              </w:rPr>
            </w:pPr>
          </w:p>
        </w:tc>
        <w:tc>
          <w:tcPr>
            <w:tcW w:w="73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E49BAC1">
            <w:pPr>
              <w:jc w:val="left"/>
              <w:rPr>
                <w:rFonts w:hint="eastAsia" w:ascii="仿宋" w:hAnsi="仿宋" w:eastAsia="仿宋" w:cs="仿宋"/>
                <w:i w:val="0"/>
                <w:iCs w:val="0"/>
                <w:color w:val="000000"/>
                <w:sz w:val="22"/>
                <w:szCs w:val="22"/>
                <w:u w:val="none"/>
              </w:rPr>
            </w:pPr>
          </w:p>
        </w:tc>
        <w:tc>
          <w:tcPr>
            <w:tcW w:w="150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7CD4CD9">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绩效目标明确性</w:t>
            </w:r>
          </w:p>
        </w:tc>
        <w:tc>
          <w:tcPr>
            <w:tcW w:w="11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27E200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明确</w:t>
            </w:r>
          </w:p>
        </w:tc>
        <w:tc>
          <w:tcPr>
            <w:tcW w:w="26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61BA7B9">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依据绩效目标设定的绩效指标是否清晰、细化、可衡量等，用以反映和考核项目绩效目标的明细化情况。</w:t>
            </w:r>
          </w:p>
        </w:tc>
        <w:tc>
          <w:tcPr>
            <w:tcW w:w="7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A93C00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 </w:t>
            </w:r>
          </w:p>
        </w:tc>
        <w:tc>
          <w:tcPr>
            <w:tcW w:w="47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A5CFC71">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1.是否将部门整体预算绩效目标细化分解为具体的工作任务；</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2.是否通过清晰、可衡量的量化指标值予以体现；</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3.是否与部门年度重点工作任务数相对应，并突出了核心绩效指标。</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以上评价要点各占1/3权重，每个要点执行情况分好、中、差三档，按100%-80%（含）、80%-60%（含）、60%-0%评分。</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A7663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明确</w:t>
            </w:r>
          </w:p>
        </w:tc>
        <w:tc>
          <w:tcPr>
            <w:tcW w:w="10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5B59FA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2.00 </w:t>
            </w:r>
          </w:p>
        </w:tc>
      </w:tr>
      <w:tr w14:paraId="25F89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5" w:hRule="atLeast"/>
        </w:trPr>
        <w:tc>
          <w:tcPr>
            <w:tcW w:w="70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5E9AAF2">
            <w:pPr>
              <w:jc w:val="center"/>
              <w:rPr>
                <w:rFonts w:hint="eastAsia" w:ascii="仿宋" w:hAnsi="仿宋" w:eastAsia="仿宋" w:cs="仿宋"/>
                <w:i w:val="0"/>
                <w:iCs w:val="0"/>
                <w:color w:val="000000"/>
                <w:sz w:val="22"/>
                <w:szCs w:val="22"/>
                <w:u w:val="none"/>
              </w:rPr>
            </w:pPr>
          </w:p>
        </w:tc>
        <w:tc>
          <w:tcPr>
            <w:tcW w:w="73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292832E">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预算编制</w:t>
            </w:r>
          </w:p>
        </w:tc>
        <w:tc>
          <w:tcPr>
            <w:tcW w:w="150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A5DBF5A">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预算编制科学性</w:t>
            </w:r>
          </w:p>
        </w:tc>
        <w:tc>
          <w:tcPr>
            <w:tcW w:w="11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2A671B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科学</w:t>
            </w:r>
          </w:p>
        </w:tc>
        <w:tc>
          <w:tcPr>
            <w:tcW w:w="26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1697B20">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项目预算编制是否经过科学论证、有明确标准，资金额度与年度目标是否相适应，用以反映和考核项目预算编制的科学性、合理性情况。</w:t>
            </w:r>
          </w:p>
        </w:tc>
        <w:tc>
          <w:tcPr>
            <w:tcW w:w="7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090AE5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 </w:t>
            </w:r>
          </w:p>
        </w:tc>
        <w:tc>
          <w:tcPr>
            <w:tcW w:w="47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6731ECB">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1.基本支出及项目支出的预算编制依据是否充分，符合法律法规、部门职责、发展规划以及相关政策；</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2.基本支出预算是否按照规定标准编制；各项目预算测算依据是否充分，是否与工作任务相匹配，并经过科学论证；</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3.重点支出是否有保障；</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4.部门内容项目之间是否存在重复交叉，与其他部门项目是否存在重复交叉。</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以上评价要点各占1/4权重，每个要点执行情况分好、中、差三档，按100%-80%（含）、80%-60%（含）、60%-0%评分。</w:t>
            </w:r>
          </w:p>
        </w:tc>
        <w:tc>
          <w:tcPr>
            <w:tcW w:w="101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E4E666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科学</w:t>
            </w:r>
          </w:p>
        </w:tc>
        <w:tc>
          <w:tcPr>
            <w:tcW w:w="10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AE36E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2.00 </w:t>
            </w:r>
          </w:p>
        </w:tc>
      </w:tr>
      <w:tr w14:paraId="57E8B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45" w:hRule="atLeast"/>
        </w:trPr>
        <w:tc>
          <w:tcPr>
            <w:tcW w:w="70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6E55551">
            <w:pPr>
              <w:jc w:val="center"/>
              <w:rPr>
                <w:rFonts w:hint="eastAsia" w:ascii="仿宋" w:hAnsi="仿宋" w:eastAsia="仿宋" w:cs="仿宋"/>
                <w:i w:val="0"/>
                <w:iCs w:val="0"/>
                <w:color w:val="000000"/>
                <w:sz w:val="22"/>
                <w:szCs w:val="22"/>
                <w:u w:val="none"/>
              </w:rPr>
            </w:pPr>
          </w:p>
        </w:tc>
        <w:tc>
          <w:tcPr>
            <w:tcW w:w="73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F9EA1D2">
            <w:pPr>
              <w:jc w:val="left"/>
              <w:rPr>
                <w:rFonts w:hint="eastAsia" w:ascii="仿宋" w:hAnsi="仿宋" w:eastAsia="仿宋" w:cs="仿宋"/>
                <w:i w:val="0"/>
                <w:iCs w:val="0"/>
                <w:color w:val="000000"/>
                <w:sz w:val="22"/>
                <w:szCs w:val="22"/>
                <w:u w:val="none"/>
              </w:rPr>
            </w:pPr>
          </w:p>
        </w:tc>
        <w:tc>
          <w:tcPr>
            <w:tcW w:w="150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C49F3A">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预算编制规范性</w:t>
            </w:r>
          </w:p>
        </w:tc>
        <w:tc>
          <w:tcPr>
            <w:tcW w:w="11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B0366E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规范</w:t>
            </w:r>
          </w:p>
        </w:tc>
        <w:tc>
          <w:tcPr>
            <w:tcW w:w="26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5ABBE5A">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部门（单位）预算管理是否规范，用以反映和考核预算执行情况。</w:t>
            </w:r>
          </w:p>
        </w:tc>
        <w:tc>
          <w:tcPr>
            <w:tcW w:w="7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CECE46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 </w:t>
            </w:r>
          </w:p>
        </w:tc>
        <w:tc>
          <w:tcPr>
            <w:tcW w:w="47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8184589">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1.部门预算是否严格按照财政部门关于预算编制的时间和流程执行；</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2.各项目是否按照规定的程序申请设立，事前是否经过必要的可行性研究、专家论证、风险评估、绩效评估、集体决策等；</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3.审批文件、材料是否符合相关要求。</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以上评价要点各占1/3权重，每个要点执行情况分好、中、差三档，按100%-80%（含）、80%-60%（含）、60%-0%评分。</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0F495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规范</w:t>
            </w:r>
          </w:p>
        </w:tc>
        <w:tc>
          <w:tcPr>
            <w:tcW w:w="10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F8D436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2.00 </w:t>
            </w:r>
          </w:p>
        </w:tc>
      </w:tr>
      <w:tr w14:paraId="7DBA3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75" w:hRule="atLeast"/>
        </w:trPr>
        <w:tc>
          <w:tcPr>
            <w:tcW w:w="70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F0747F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过程</w:t>
            </w:r>
          </w:p>
        </w:tc>
        <w:tc>
          <w:tcPr>
            <w:tcW w:w="73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C98AE2F">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预算执行</w:t>
            </w:r>
          </w:p>
        </w:tc>
        <w:tc>
          <w:tcPr>
            <w:tcW w:w="150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B8D835">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非税收入预算完成率</w:t>
            </w:r>
          </w:p>
        </w:tc>
        <w:tc>
          <w:tcPr>
            <w:tcW w:w="11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C50E1B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w:t>
            </w:r>
          </w:p>
        </w:tc>
        <w:tc>
          <w:tcPr>
            <w:tcW w:w="26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B904B89">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非税收入预算资金是否按照计划执行，用以反映或考核项目预算执行情况。</w:t>
            </w:r>
          </w:p>
        </w:tc>
        <w:tc>
          <w:tcPr>
            <w:tcW w:w="7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295653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 </w:t>
            </w:r>
          </w:p>
        </w:tc>
        <w:tc>
          <w:tcPr>
            <w:tcW w:w="47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2B5214">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非税收入预算完成率=（非税收入实际完成数/非税收入预算数）×100%。</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非税收入实际完成数：部门（单位）本年度实际完成的非税收入数。</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预算数：本年度部门（单位）编制的非税收入预算数。</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评分规则：得分=非税收入预算完成率×分值。</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544148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100.00%</w:t>
            </w:r>
          </w:p>
        </w:tc>
        <w:tc>
          <w:tcPr>
            <w:tcW w:w="10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68F6CD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2.00 </w:t>
            </w:r>
          </w:p>
        </w:tc>
      </w:tr>
      <w:tr w14:paraId="44C79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05" w:hRule="atLeast"/>
        </w:trPr>
        <w:tc>
          <w:tcPr>
            <w:tcW w:w="70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A633BE9">
            <w:pPr>
              <w:jc w:val="center"/>
              <w:rPr>
                <w:rFonts w:hint="eastAsia" w:ascii="仿宋" w:hAnsi="仿宋" w:eastAsia="仿宋" w:cs="仿宋"/>
                <w:i w:val="0"/>
                <w:iCs w:val="0"/>
                <w:color w:val="000000"/>
                <w:sz w:val="22"/>
                <w:szCs w:val="22"/>
                <w:u w:val="none"/>
              </w:rPr>
            </w:pPr>
          </w:p>
        </w:tc>
        <w:tc>
          <w:tcPr>
            <w:tcW w:w="73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7AA9A09">
            <w:pPr>
              <w:jc w:val="left"/>
              <w:rPr>
                <w:rFonts w:hint="eastAsia" w:ascii="仿宋" w:hAnsi="仿宋" w:eastAsia="仿宋" w:cs="仿宋"/>
                <w:i w:val="0"/>
                <w:iCs w:val="0"/>
                <w:color w:val="000000"/>
                <w:sz w:val="22"/>
                <w:szCs w:val="22"/>
                <w:u w:val="none"/>
              </w:rPr>
            </w:pPr>
          </w:p>
        </w:tc>
        <w:tc>
          <w:tcPr>
            <w:tcW w:w="150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D3A489A">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政府采购执行率</w:t>
            </w:r>
          </w:p>
        </w:tc>
        <w:tc>
          <w:tcPr>
            <w:tcW w:w="11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832644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w:t>
            </w:r>
          </w:p>
        </w:tc>
        <w:tc>
          <w:tcPr>
            <w:tcW w:w="26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851784">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政府采购资金是否按照计划执行，用以反映或考核政府采购执行情况。</w:t>
            </w:r>
          </w:p>
        </w:tc>
        <w:tc>
          <w:tcPr>
            <w:tcW w:w="7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187048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 </w:t>
            </w:r>
          </w:p>
        </w:tc>
        <w:tc>
          <w:tcPr>
            <w:tcW w:w="47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D67E7A">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预算执行率=（预算执行数/预算数）×100%。</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预算执行数：部门（单位）本年度实际完成的预算数。</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预算数：财政部门批复的本年度部门（单位）预算数。</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评分规则：得分=预算执行率×分值。</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88CD2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100.00%</w:t>
            </w:r>
          </w:p>
        </w:tc>
        <w:tc>
          <w:tcPr>
            <w:tcW w:w="10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7CD637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2.00 </w:t>
            </w:r>
          </w:p>
        </w:tc>
      </w:tr>
      <w:tr w14:paraId="244D5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5" w:hRule="atLeast"/>
        </w:trPr>
        <w:tc>
          <w:tcPr>
            <w:tcW w:w="70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B49A6F3">
            <w:pPr>
              <w:jc w:val="center"/>
              <w:rPr>
                <w:rFonts w:hint="eastAsia" w:ascii="仿宋" w:hAnsi="仿宋" w:eastAsia="仿宋" w:cs="仿宋"/>
                <w:i w:val="0"/>
                <w:iCs w:val="0"/>
                <w:color w:val="000000"/>
                <w:sz w:val="22"/>
                <w:szCs w:val="22"/>
                <w:u w:val="none"/>
              </w:rPr>
            </w:pPr>
          </w:p>
        </w:tc>
        <w:tc>
          <w:tcPr>
            <w:tcW w:w="73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27E0C84">
            <w:pPr>
              <w:jc w:val="left"/>
              <w:rPr>
                <w:rFonts w:hint="eastAsia" w:ascii="仿宋" w:hAnsi="仿宋" w:eastAsia="仿宋" w:cs="仿宋"/>
                <w:i w:val="0"/>
                <w:iCs w:val="0"/>
                <w:color w:val="000000"/>
                <w:sz w:val="22"/>
                <w:szCs w:val="22"/>
                <w:u w:val="none"/>
              </w:rPr>
            </w:pPr>
          </w:p>
        </w:tc>
        <w:tc>
          <w:tcPr>
            <w:tcW w:w="150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AD00CC9">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“三公经费”变动率</w:t>
            </w:r>
          </w:p>
        </w:tc>
        <w:tc>
          <w:tcPr>
            <w:tcW w:w="11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435D4F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≤0%</w:t>
            </w:r>
          </w:p>
        </w:tc>
        <w:tc>
          <w:tcPr>
            <w:tcW w:w="26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54A877">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考量部门（单位）本年度“三公经费”实际支出数与上年度实际支出数的变动率，用以反映和考核部门（单位）对“三公经费”的实际控制程度。</w:t>
            </w:r>
          </w:p>
        </w:tc>
        <w:tc>
          <w:tcPr>
            <w:tcW w:w="7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872F1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 </w:t>
            </w:r>
          </w:p>
        </w:tc>
        <w:tc>
          <w:tcPr>
            <w:tcW w:w="47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094E94">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“三公经费”变动率=[（本年度“三公经费”总额-上年度“三公经费”总额）/上年度“三公经费”总额]×100%。</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“三公经费”：年度预算安排的因公出国（境）费、公务车辆购置及运行费和公务招待费。</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评分规则：</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1.比率≤0%，得满分；</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2.比率＞0%，不得分。</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55AC3A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&gt;100%</w:t>
            </w:r>
          </w:p>
        </w:tc>
        <w:tc>
          <w:tcPr>
            <w:tcW w:w="10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A99C3E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0.00 </w:t>
            </w:r>
          </w:p>
        </w:tc>
      </w:tr>
      <w:tr w14:paraId="7E977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35" w:hRule="atLeast"/>
        </w:trPr>
        <w:tc>
          <w:tcPr>
            <w:tcW w:w="70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9765E79">
            <w:pPr>
              <w:jc w:val="center"/>
              <w:rPr>
                <w:rFonts w:hint="eastAsia" w:ascii="仿宋" w:hAnsi="仿宋" w:eastAsia="仿宋" w:cs="仿宋"/>
                <w:i w:val="0"/>
                <w:iCs w:val="0"/>
                <w:color w:val="000000"/>
                <w:sz w:val="22"/>
                <w:szCs w:val="22"/>
                <w:u w:val="none"/>
              </w:rPr>
            </w:pPr>
          </w:p>
        </w:tc>
        <w:tc>
          <w:tcPr>
            <w:tcW w:w="73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FCE9BB7">
            <w:pPr>
              <w:jc w:val="left"/>
              <w:rPr>
                <w:rFonts w:hint="eastAsia" w:ascii="仿宋" w:hAnsi="仿宋" w:eastAsia="仿宋" w:cs="仿宋"/>
                <w:i w:val="0"/>
                <w:iCs w:val="0"/>
                <w:color w:val="000000"/>
                <w:sz w:val="22"/>
                <w:szCs w:val="22"/>
                <w:u w:val="none"/>
              </w:rPr>
            </w:pPr>
          </w:p>
        </w:tc>
        <w:tc>
          <w:tcPr>
            <w:tcW w:w="150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266D146">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公用经费控制率</w:t>
            </w:r>
          </w:p>
        </w:tc>
        <w:tc>
          <w:tcPr>
            <w:tcW w:w="11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204046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w:t>
            </w:r>
          </w:p>
        </w:tc>
        <w:tc>
          <w:tcPr>
            <w:tcW w:w="26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3348CA3">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考量部门（单位）本年度公用经费实际支出数与预计安排数的比例，用以反映和考核部门（单位）对公用经费的实际控制程度。</w:t>
            </w:r>
          </w:p>
        </w:tc>
        <w:tc>
          <w:tcPr>
            <w:tcW w:w="7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D74A9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 </w:t>
            </w:r>
          </w:p>
        </w:tc>
        <w:tc>
          <w:tcPr>
            <w:tcW w:w="47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73EDA1E">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公用经费控制率=（实际支出公用经费总额/预算安排公用经费总额）×100%。</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评分规则：</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1.比率≤100%，得满分；</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2.比率＞100%，不得分。</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A5BEB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92.81%</w:t>
            </w:r>
          </w:p>
        </w:tc>
        <w:tc>
          <w:tcPr>
            <w:tcW w:w="10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88A074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2.00 </w:t>
            </w:r>
          </w:p>
        </w:tc>
      </w:tr>
      <w:tr w14:paraId="19F36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5" w:hRule="atLeast"/>
        </w:trPr>
        <w:tc>
          <w:tcPr>
            <w:tcW w:w="70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BEB5E21">
            <w:pPr>
              <w:jc w:val="center"/>
              <w:rPr>
                <w:rFonts w:hint="eastAsia" w:ascii="仿宋" w:hAnsi="仿宋" w:eastAsia="仿宋" w:cs="仿宋"/>
                <w:i w:val="0"/>
                <w:iCs w:val="0"/>
                <w:color w:val="000000"/>
                <w:sz w:val="22"/>
                <w:szCs w:val="22"/>
                <w:u w:val="none"/>
              </w:rPr>
            </w:pPr>
          </w:p>
        </w:tc>
        <w:tc>
          <w:tcPr>
            <w:tcW w:w="73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1221244">
            <w:pPr>
              <w:jc w:val="left"/>
              <w:rPr>
                <w:rFonts w:hint="eastAsia" w:ascii="仿宋" w:hAnsi="仿宋" w:eastAsia="仿宋" w:cs="仿宋"/>
                <w:i w:val="0"/>
                <w:iCs w:val="0"/>
                <w:color w:val="000000"/>
                <w:sz w:val="22"/>
                <w:szCs w:val="22"/>
                <w:u w:val="none"/>
              </w:rPr>
            </w:pPr>
          </w:p>
        </w:tc>
        <w:tc>
          <w:tcPr>
            <w:tcW w:w="150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0390832">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结转结余率</w:t>
            </w:r>
          </w:p>
        </w:tc>
        <w:tc>
          <w:tcPr>
            <w:tcW w:w="11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3229FD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＝0%</w:t>
            </w:r>
          </w:p>
        </w:tc>
        <w:tc>
          <w:tcPr>
            <w:tcW w:w="26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CC509AC">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部门（单位）本年度结转结余总额与支出预算数的比率，用以反映和考核部门（单位）对本年度结转结余资金的实际控制程度。</w:t>
            </w:r>
          </w:p>
        </w:tc>
        <w:tc>
          <w:tcPr>
            <w:tcW w:w="7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2E402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 </w:t>
            </w:r>
          </w:p>
        </w:tc>
        <w:tc>
          <w:tcPr>
            <w:tcW w:w="47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F11C45">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结转结余率=结转结余总额/调整预算数×100%。</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结转结余总额：部门（单位）本年度的结转资金与结余资金之和（以决算数为准，“三公”经费未执行数和政府采购节约资金等视同已支出）。</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评分规则：</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1.比率=0%，得满分；</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2.10%≤比率＜0%，每增加1%，扣10%的权重分；</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3.比率＞10%，不得分。</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1BC02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0.00%</w:t>
            </w:r>
          </w:p>
        </w:tc>
        <w:tc>
          <w:tcPr>
            <w:tcW w:w="10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421141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3.00 </w:t>
            </w:r>
          </w:p>
        </w:tc>
      </w:tr>
      <w:tr w14:paraId="33589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5" w:hRule="atLeast"/>
        </w:trPr>
        <w:tc>
          <w:tcPr>
            <w:tcW w:w="70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06378FC">
            <w:pPr>
              <w:jc w:val="center"/>
              <w:rPr>
                <w:rFonts w:hint="eastAsia" w:ascii="仿宋" w:hAnsi="仿宋" w:eastAsia="仿宋" w:cs="仿宋"/>
                <w:i w:val="0"/>
                <w:iCs w:val="0"/>
                <w:color w:val="000000"/>
                <w:sz w:val="22"/>
                <w:szCs w:val="22"/>
                <w:u w:val="none"/>
              </w:rPr>
            </w:pPr>
          </w:p>
        </w:tc>
        <w:tc>
          <w:tcPr>
            <w:tcW w:w="73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9DC0A36">
            <w:pPr>
              <w:jc w:val="left"/>
              <w:rPr>
                <w:rFonts w:hint="eastAsia" w:ascii="仿宋" w:hAnsi="仿宋" w:eastAsia="仿宋" w:cs="仿宋"/>
                <w:i w:val="0"/>
                <w:iCs w:val="0"/>
                <w:color w:val="000000"/>
                <w:sz w:val="22"/>
                <w:szCs w:val="22"/>
                <w:u w:val="none"/>
              </w:rPr>
            </w:pPr>
          </w:p>
        </w:tc>
        <w:tc>
          <w:tcPr>
            <w:tcW w:w="150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7A92EF">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预算执行率</w:t>
            </w:r>
          </w:p>
        </w:tc>
        <w:tc>
          <w:tcPr>
            <w:tcW w:w="11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CD4D84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w:t>
            </w:r>
          </w:p>
        </w:tc>
        <w:tc>
          <w:tcPr>
            <w:tcW w:w="26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ACD3D06">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部门（单位）本年度预算完成数与预算数的比率，用以反映和考核部门（单位）预算完成程度。</w:t>
            </w:r>
          </w:p>
        </w:tc>
        <w:tc>
          <w:tcPr>
            <w:tcW w:w="7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49A8EB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 </w:t>
            </w:r>
          </w:p>
        </w:tc>
        <w:tc>
          <w:tcPr>
            <w:tcW w:w="47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8A589B6">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预算执行率=（预算完成数/预算数）×100%；</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预算完成数：部门（单位）本年度实际完成的预算数；</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预算数：财政部门批复的本年度部门（单位）预算数；</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预算执行率达到或超过 100%，得满分；在100%以下则按预算执行率与目标值的比值，乘以权重计分。</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3EB9B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87.51%</w:t>
            </w:r>
          </w:p>
        </w:tc>
        <w:tc>
          <w:tcPr>
            <w:tcW w:w="10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54D57C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1.75 </w:t>
            </w:r>
          </w:p>
        </w:tc>
      </w:tr>
      <w:tr w14:paraId="62673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5" w:hRule="atLeast"/>
        </w:trPr>
        <w:tc>
          <w:tcPr>
            <w:tcW w:w="70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345950C">
            <w:pPr>
              <w:jc w:val="center"/>
              <w:rPr>
                <w:rFonts w:hint="eastAsia" w:ascii="仿宋" w:hAnsi="仿宋" w:eastAsia="仿宋" w:cs="仿宋"/>
                <w:i w:val="0"/>
                <w:iCs w:val="0"/>
                <w:color w:val="000000"/>
                <w:sz w:val="22"/>
                <w:szCs w:val="22"/>
                <w:u w:val="none"/>
              </w:rPr>
            </w:pPr>
          </w:p>
        </w:tc>
        <w:tc>
          <w:tcPr>
            <w:tcW w:w="73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AAE3C53">
            <w:pPr>
              <w:jc w:val="left"/>
              <w:rPr>
                <w:rFonts w:hint="eastAsia" w:ascii="仿宋" w:hAnsi="仿宋" w:eastAsia="仿宋" w:cs="仿宋"/>
                <w:i w:val="0"/>
                <w:iCs w:val="0"/>
                <w:color w:val="000000"/>
                <w:sz w:val="22"/>
                <w:szCs w:val="22"/>
                <w:u w:val="none"/>
              </w:rPr>
            </w:pPr>
          </w:p>
        </w:tc>
        <w:tc>
          <w:tcPr>
            <w:tcW w:w="150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D4E9444">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预算调整率</w:t>
            </w:r>
          </w:p>
        </w:tc>
        <w:tc>
          <w:tcPr>
            <w:tcW w:w="11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8A5415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＝0%</w:t>
            </w:r>
          </w:p>
        </w:tc>
        <w:tc>
          <w:tcPr>
            <w:tcW w:w="26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CA1247F">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部门（单位）本年度预算调整情况，用以反映和考核部门（单位）预算调整程度。</w:t>
            </w:r>
          </w:p>
        </w:tc>
        <w:tc>
          <w:tcPr>
            <w:tcW w:w="7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3A7C3F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 </w:t>
            </w:r>
          </w:p>
        </w:tc>
        <w:tc>
          <w:tcPr>
            <w:tcW w:w="47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8FADCD8">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预算调整率=ABS（新预算的金额-原预算的金额）/原预算金额*100%。</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①预算调整率等于0%，得满分；②0＜预算调整率＜20%时，得1/2权重分；③预算调整率≥20%时，计0分。</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5F5AC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12.49%</w:t>
            </w:r>
          </w:p>
        </w:tc>
        <w:tc>
          <w:tcPr>
            <w:tcW w:w="10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F4987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0.50 </w:t>
            </w:r>
          </w:p>
        </w:tc>
      </w:tr>
      <w:tr w14:paraId="53B54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5" w:hRule="atLeast"/>
        </w:trPr>
        <w:tc>
          <w:tcPr>
            <w:tcW w:w="70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F9F26B3">
            <w:pPr>
              <w:jc w:val="center"/>
              <w:rPr>
                <w:rFonts w:hint="eastAsia" w:ascii="仿宋" w:hAnsi="仿宋" w:eastAsia="仿宋" w:cs="仿宋"/>
                <w:i w:val="0"/>
                <w:iCs w:val="0"/>
                <w:color w:val="000000"/>
                <w:sz w:val="22"/>
                <w:szCs w:val="22"/>
                <w:u w:val="none"/>
              </w:rPr>
            </w:pPr>
          </w:p>
        </w:tc>
        <w:tc>
          <w:tcPr>
            <w:tcW w:w="73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4259CFD">
            <w:pPr>
              <w:jc w:val="left"/>
              <w:rPr>
                <w:rFonts w:hint="eastAsia" w:ascii="仿宋" w:hAnsi="仿宋" w:eastAsia="仿宋" w:cs="仿宋"/>
                <w:i w:val="0"/>
                <w:iCs w:val="0"/>
                <w:color w:val="000000"/>
                <w:sz w:val="22"/>
                <w:szCs w:val="22"/>
                <w:u w:val="none"/>
              </w:rPr>
            </w:pPr>
          </w:p>
        </w:tc>
        <w:tc>
          <w:tcPr>
            <w:tcW w:w="150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2FB00C">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支付进度符合率</w:t>
            </w:r>
          </w:p>
        </w:tc>
        <w:tc>
          <w:tcPr>
            <w:tcW w:w="11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F5C49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w:t>
            </w:r>
          </w:p>
        </w:tc>
        <w:tc>
          <w:tcPr>
            <w:tcW w:w="26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690193B">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部门（单位）本年项目资金支付是否符合预计程度，用以反映和考核部门预算执行的及时性和均衡性程度。</w:t>
            </w:r>
          </w:p>
        </w:tc>
        <w:tc>
          <w:tcPr>
            <w:tcW w:w="7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A6F890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 </w:t>
            </w:r>
          </w:p>
        </w:tc>
        <w:tc>
          <w:tcPr>
            <w:tcW w:w="47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E81FE82">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支付进度符合率=（实际支付进度/既定支付进度）×100%。</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实际支付进度：部门（单位）在某一时点（一般为半年度）的支出预算执行总数与年度支出预算数的比率。</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既定支付进度：由部门（单位）在申报部门整体绩效目标时，参照序时支付进度、前三年支付进度、同级部门平均支付进度水平等确定的，在某一时点（一般为半年度）应达到的支付进度（比率）。</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评分规则：得分=支付进度符合率×分值。</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3B9C11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70.44%</w:t>
            </w:r>
          </w:p>
        </w:tc>
        <w:tc>
          <w:tcPr>
            <w:tcW w:w="10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086D6E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0.70 </w:t>
            </w:r>
          </w:p>
        </w:tc>
      </w:tr>
      <w:tr w14:paraId="3F091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70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FA2FD25">
            <w:pPr>
              <w:jc w:val="center"/>
              <w:rPr>
                <w:rFonts w:hint="eastAsia" w:ascii="仿宋" w:hAnsi="仿宋" w:eastAsia="仿宋" w:cs="仿宋"/>
                <w:i w:val="0"/>
                <w:iCs w:val="0"/>
                <w:color w:val="000000"/>
                <w:sz w:val="22"/>
                <w:szCs w:val="22"/>
                <w:u w:val="none"/>
              </w:rPr>
            </w:pPr>
          </w:p>
        </w:tc>
        <w:tc>
          <w:tcPr>
            <w:tcW w:w="73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07738AF">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预算管理</w:t>
            </w:r>
          </w:p>
        </w:tc>
        <w:tc>
          <w:tcPr>
            <w:tcW w:w="150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1C261B">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预算管理制度健全性</w:t>
            </w:r>
          </w:p>
        </w:tc>
        <w:tc>
          <w:tcPr>
            <w:tcW w:w="11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AE021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健全</w:t>
            </w:r>
          </w:p>
        </w:tc>
        <w:tc>
          <w:tcPr>
            <w:tcW w:w="26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CC34F37">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考核部门（单位）预算管理制度的健全程度。</w:t>
            </w:r>
          </w:p>
        </w:tc>
        <w:tc>
          <w:tcPr>
            <w:tcW w:w="7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28772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 </w:t>
            </w:r>
          </w:p>
        </w:tc>
        <w:tc>
          <w:tcPr>
            <w:tcW w:w="47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0FAD8A9">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①制定或具有预算管理制度计1/2权重分；②管理制度科学健全计1/2权重分。</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BF9634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健全</w:t>
            </w:r>
          </w:p>
        </w:tc>
        <w:tc>
          <w:tcPr>
            <w:tcW w:w="10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3DDDAB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1.00 </w:t>
            </w:r>
          </w:p>
        </w:tc>
      </w:tr>
      <w:tr w14:paraId="63172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70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0091969">
            <w:pPr>
              <w:jc w:val="center"/>
              <w:rPr>
                <w:rFonts w:hint="eastAsia" w:ascii="仿宋" w:hAnsi="仿宋" w:eastAsia="仿宋" w:cs="仿宋"/>
                <w:i w:val="0"/>
                <w:iCs w:val="0"/>
                <w:color w:val="000000"/>
                <w:sz w:val="22"/>
                <w:szCs w:val="22"/>
                <w:u w:val="none"/>
              </w:rPr>
            </w:pPr>
          </w:p>
        </w:tc>
        <w:tc>
          <w:tcPr>
            <w:tcW w:w="73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A935B1B">
            <w:pPr>
              <w:jc w:val="left"/>
              <w:rPr>
                <w:rFonts w:hint="eastAsia" w:ascii="仿宋" w:hAnsi="仿宋" w:eastAsia="仿宋" w:cs="仿宋"/>
                <w:i w:val="0"/>
                <w:iCs w:val="0"/>
                <w:color w:val="000000"/>
                <w:sz w:val="22"/>
                <w:szCs w:val="22"/>
                <w:u w:val="none"/>
              </w:rPr>
            </w:pPr>
          </w:p>
        </w:tc>
        <w:tc>
          <w:tcPr>
            <w:tcW w:w="150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CA699B9">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非税收入管理合规性</w:t>
            </w:r>
          </w:p>
        </w:tc>
        <w:tc>
          <w:tcPr>
            <w:tcW w:w="11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0FF80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合规</w:t>
            </w:r>
          </w:p>
        </w:tc>
        <w:tc>
          <w:tcPr>
            <w:tcW w:w="26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377E124">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考核部门（单位）非税收入管理是否合规。</w:t>
            </w:r>
          </w:p>
        </w:tc>
        <w:tc>
          <w:tcPr>
            <w:tcW w:w="7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1C3953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 </w:t>
            </w:r>
          </w:p>
        </w:tc>
        <w:tc>
          <w:tcPr>
            <w:tcW w:w="47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26A6405">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非税收入管理合规得满分，较合规酌情给分，不合规不给分。</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752D13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合规</w:t>
            </w:r>
          </w:p>
        </w:tc>
        <w:tc>
          <w:tcPr>
            <w:tcW w:w="10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1F864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1.00 </w:t>
            </w:r>
          </w:p>
        </w:tc>
      </w:tr>
      <w:tr w14:paraId="75686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70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0EEF95F">
            <w:pPr>
              <w:jc w:val="center"/>
              <w:rPr>
                <w:rFonts w:hint="eastAsia" w:ascii="仿宋" w:hAnsi="仿宋" w:eastAsia="仿宋" w:cs="仿宋"/>
                <w:i w:val="0"/>
                <w:iCs w:val="0"/>
                <w:color w:val="000000"/>
                <w:sz w:val="22"/>
                <w:szCs w:val="22"/>
                <w:u w:val="none"/>
              </w:rPr>
            </w:pPr>
          </w:p>
        </w:tc>
        <w:tc>
          <w:tcPr>
            <w:tcW w:w="73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1A1B0B4">
            <w:pPr>
              <w:jc w:val="left"/>
              <w:rPr>
                <w:rFonts w:hint="eastAsia" w:ascii="仿宋" w:hAnsi="仿宋" w:eastAsia="仿宋" w:cs="仿宋"/>
                <w:i w:val="0"/>
                <w:iCs w:val="0"/>
                <w:color w:val="000000"/>
                <w:sz w:val="22"/>
                <w:szCs w:val="22"/>
                <w:u w:val="none"/>
              </w:rPr>
            </w:pPr>
          </w:p>
        </w:tc>
        <w:tc>
          <w:tcPr>
            <w:tcW w:w="150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3CD061">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预决算信息公开度</w:t>
            </w:r>
          </w:p>
        </w:tc>
        <w:tc>
          <w:tcPr>
            <w:tcW w:w="11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910F96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公开</w:t>
            </w:r>
          </w:p>
        </w:tc>
        <w:tc>
          <w:tcPr>
            <w:tcW w:w="26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CAED595">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部门（单位）是否公开预决算信息。</w:t>
            </w:r>
          </w:p>
        </w:tc>
        <w:tc>
          <w:tcPr>
            <w:tcW w:w="7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EC9D4F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 </w:t>
            </w:r>
          </w:p>
        </w:tc>
        <w:tc>
          <w:tcPr>
            <w:tcW w:w="47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5F1A836">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预决算信息全面公开得满分，部分公开酌情给分，不公开不给分。</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AD98C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公开</w:t>
            </w:r>
          </w:p>
        </w:tc>
        <w:tc>
          <w:tcPr>
            <w:tcW w:w="10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34DB4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1.00 </w:t>
            </w:r>
          </w:p>
        </w:tc>
      </w:tr>
      <w:tr w14:paraId="64430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70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AE7F57C">
            <w:pPr>
              <w:jc w:val="center"/>
              <w:rPr>
                <w:rFonts w:hint="eastAsia" w:ascii="仿宋" w:hAnsi="仿宋" w:eastAsia="仿宋" w:cs="仿宋"/>
                <w:i w:val="0"/>
                <w:iCs w:val="0"/>
                <w:color w:val="000000"/>
                <w:sz w:val="22"/>
                <w:szCs w:val="22"/>
                <w:u w:val="none"/>
              </w:rPr>
            </w:pPr>
          </w:p>
        </w:tc>
        <w:tc>
          <w:tcPr>
            <w:tcW w:w="73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0C77AA3">
            <w:pPr>
              <w:jc w:val="left"/>
              <w:rPr>
                <w:rFonts w:hint="eastAsia" w:ascii="仿宋" w:hAnsi="仿宋" w:eastAsia="仿宋" w:cs="仿宋"/>
                <w:i w:val="0"/>
                <w:iCs w:val="0"/>
                <w:color w:val="000000"/>
                <w:sz w:val="22"/>
                <w:szCs w:val="22"/>
                <w:u w:val="none"/>
              </w:rPr>
            </w:pPr>
          </w:p>
        </w:tc>
        <w:tc>
          <w:tcPr>
            <w:tcW w:w="150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0EF92A1">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基础信息完善性</w:t>
            </w:r>
          </w:p>
        </w:tc>
        <w:tc>
          <w:tcPr>
            <w:tcW w:w="11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A4D87F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完善</w:t>
            </w:r>
          </w:p>
        </w:tc>
        <w:tc>
          <w:tcPr>
            <w:tcW w:w="26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AF8EA8">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部门（单位）基础信息是否完善。</w:t>
            </w:r>
          </w:p>
        </w:tc>
        <w:tc>
          <w:tcPr>
            <w:tcW w:w="7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28B69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 </w:t>
            </w:r>
          </w:p>
        </w:tc>
        <w:tc>
          <w:tcPr>
            <w:tcW w:w="47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4107C43">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部门基础信息完善得满分，较完善酌情给分，否则不给分。</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3A2033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完善</w:t>
            </w:r>
          </w:p>
        </w:tc>
        <w:tc>
          <w:tcPr>
            <w:tcW w:w="10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D0D0DC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1.00 </w:t>
            </w:r>
          </w:p>
        </w:tc>
      </w:tr>
      <w:tr w14:paraId="04B53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5" w:hRule="atLeast"/>
        </w:trPr>
        <w:tc>
          <w:tcPr>
            <w:tcW w:w="70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1198A82">
            <w:pPr>
              <w:jc w:val="center"/>
              <w:rPr>
                <w:rFonts w:hint="eastAsia" w:ascii="仿宋" w:hAnsi="仿宋" w:eastAsia="仿宋" w:cs="仿宋"/>
                <w:i w:val="0"/>
                <w:iCs w:val="0"/>
                <w:color w:val="000000"/>
                <w:sz w:val="22"/>
                <w:szCs w:val="22"/>
                <w:u w:val="none"/>
              </w:rPr>
            </w:pPr>
          </w:p>
        </w:tc>
        <w:tc>
          <w:tcPr>
            <w:tcW w:w="73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11E4A31">
            <w:pPr>
              <w:jc w:val="left"/>
              <w:rPr>
                <w:rFonts w:hint="eastAsia" w:ascii="仿宋" w:hAnsi="仿宋" w:eastAsia="仿宋" w:cs="仿宋"/>
                <w:i w:val="0"/>
                <w:iCs w:val="0"/>
                <w:color w:val="000000"/>
                <w:sz w:val="22"/>
                <w:szCs w:val="22"/>
                <w:u w:val="none"/>
              </w:rPr>
            </w:pPr>
          </w:p>
        </w:tc>
        <w:tc>
          <w:tcPr>
            <w:tcW w:w="150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260F315">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绩效管理覆盖率</w:t>
            </w:r>
          </w:p>
        </w:tc>
        <w:tc>
          <w:tcPr>
            <w:tcW w:w="11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F0860C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w:t>
            </w:r>
          </w:p>
        </w:tc>
        <w:tc>
          <w:tcPr>
            <w:tcW w:w="26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53B9113">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考核部门（单位）绩效管理是否全覆盖。</w:t>
            </w:r>
          </w:p>
        </w:tc>
        <w:tc>
          <w:tcPr>
            <w:tcW w:w="7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2BFC4B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 </w:t>
            </w:r>
          </w:p>
        </w:tc>
        <w:tc>
          <w:tcPr>
            <w:tcW w:w="47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4E0989">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绩效管理覆盖率=（纳入全过程绩效管理的资金数/预算数）×100%。</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评分规则：得分=绩效管理覆盖率×分值；绩效管理覆盖率≤60%不得分。</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86A9B1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100.00%</w:t>
            </w:r>
          </w:p>
        </w:tc>
        <w:tc>
          <w:tcPr>
            <w:tcW w:w="10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1BE4DC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2.00 </w:t>
            </w:r>
          </w:p>
        </w:tc>
      </w:tr>
      <w:tr w14:paraId="04CFE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5" w:hRule="atLeast"/>
        </w:trPr>
        <w:tc>
          <w:tcPr>
            <w:tcW w:w="70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DA31B14">
            <w:pPr>
              <w:jc w:val="center"/>
              <w:rPr>
                <w:rFonts w:hint="eastAsia" w:ascii="仿宋" w:hAnsi="仿宋" w:eastAsia="仿宋" w:cs="仿宋"/>
                <w:i w:val="0"/>
                <w:iCs w:val="0"/>
                <w:color w:val="000000"/>
                <w:sz w:val="22"/>
                <w:szCs w:val="22"/>
                <w:u w:val="none"/>
              </w:rPr>
            </w:pPr>
          </w:p>
        </w:tc>
        <w:tc>
          <w:tcPr>
            <w:tcW w:w="73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B069684">
            <w:pPr>
              <w:jc w:val="left"/>
              <w:rPr>
                <w:rFonts w:hint="eastAsia" w:ascii="仿宋" w:hAnsi="仿宋" w:eastAsia="仿宋" w:cs="仿宋"/>
                <w:i w:val="0"/>
                <w:iCs w:val="0"/>
                <w:color w:val="000000"/>
                <w:sz w:val="22"/>
                <w:szCs w:val="22"/>
                <w:u w:val="none"/>
              </w:rPr>
            </w:pPr>
          </w:p>
        </w:tc>
        <w:tc>
          <w:tcPr>
            <w:tcW w:w="150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2E7CA9F">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资金使用合规性</w:t>
            </w:r>
          </w:p>
        </w:tc>
        <w:tc>
          <w:tcPr>
            <w:tcW w:w="11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A1027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合规</w:t>
            </w:r>
          </w:p>
        </w:tc>
        <w:tc>
          <w:tcPr>
            <w:tcW w:w="26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DD6E324">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资金使用是否合规。</w:t>
            </w:r>
          </w:p>
        </w:tc>
        <w:tc>
          <w:tcPr>
            <w:tcW w:w="7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BF0108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 </w:t>
            </w:r>
          </w:p>
        </w:tc>
        <w:tc>
          <w:tcPr>
            <w:tcW w:w="47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1D529E6">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1.资金管理使用（包括收入与支出）是否符合国家财经法规和相关管理制度的规定，是否存在截留、挤占、挪用、虚列支出等非专款专用的情况；</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2.资金的收缴和拨付是否有完整的程序和手续；</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3.公用经费是否存在超标准支出情况，项目支出与公用经费是否存在重复交叉。</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以上评价要点各占1/3权重，每个要点执行情况分好、中、差三档，按100%-80%（含）、80%-60%（含）、60%-0%评分。</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C9BB24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合规</w:t>
            </w:r>
          </w:p>
        </w:tc>
        <w:tc>
          <w:tcPr>
            <w:tcW w:w="10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5BEA8F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3.00 </w:t>
            </w:r>
          </w:p>
        </w:tc>
      </w:tr>
      <w:tr w14:paraId="4D43C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5" w:hRule="atLeast"/>
        </w:trPr>
        <w:tc>
          <w:tcPr>
            <w:tcW w:w="70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05BFCEA">
            <w:pPr>
              <w:jc w:val="center"/>
              <w:rPr>
                <w:rFonts w:hint="eastAsia" w:ascii="仿宋" w:hAnsi="仿宋" w:eastAsia="仿宋" w:cs="仿宋"/>
                <w:i w:val="0"/>
                <w:iCs w:val="0"/>
                <w:color w:val="000000"/>
                <w:sz w:val="22"/>
                <w:szCs w:val="22"/>
                <w:u w:val="none"/>
              </w:rPr>
            </w:pPr>
          </w:p>
        </w:tc>
        <w:tc>
          <w:tcPr>
            <w:tcW w:w="73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AF0692A">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资产管理</w:t>
            </w:r>
          </w:p>
        </w:tc>
        <w:tc>
          <w:tcPr>
            <w:tcW w:w="150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09534CC">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资产管理规范性</w:t>
            </w:r>
          </w:p>
        </w:tc>
        <w:tc>
          <w:tcPr>
            <w:tcW w:w="11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51EFE3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规范</w:t>
            </w:r>
          </w:p>
        </w:tc>
        <w:tc>
          <w:tcPr>
            <w:tcW w:w="26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DE274AD">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部门（单位）资产管理是否规范，用以反映和考核资产是否保存完整、使用合规、安全运行情况。</w:t>
            </w:r>
          </w:p>
        </w:tc>
        <w:tc>
          <w:tcPr>
            <w:tcW w:w="7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6899F1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 </w:t>
            </w:r>
          </w:p>
        </w:tc>
        <w:tc>
          <w:tcPr>
            <w:tcW w:w="47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3DF20A">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1.资产保存是否完整，是否按规定流程报请使用；</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2.资产配置是否合理；</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3.资产处置是否规范；</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4.资产是否经清查和统计，账务管理是否合规，是否帐实相符；</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5.资产是否有偿使用及处置收入及时足额上缴。</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以上评价要点各占1/5权重，每个要点执行情况分好、中、差三档，按100%-80%（含）、80%-60%（含）、60%-0%评分。</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DB4878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较规范</w:t>
            </w:r>
          </w:p>
        </w:tc>
        <w:tc>
          <w:tcPr>
            <w:tcW w:w="10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3EF63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2.40 </w:t>
            </w:r>
          </w:p>
        </w:tc>
      </w:tr>
      <w:tr w14:paraId="56819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70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35BB256">
            <w:pPr>
              <w:jc w:val="center"/>
              <w:rPr>
                <w:rFonts w:hint="eastAsia" w:ascii="仿宋" w:hAnsi="仿宋" w:eastAsia="仿宋" w:cs="仿宋"/>
                <w:i w:val="0"/>
                <w:iCs w:val="0"/>
                <w:color w:val="000000"/>
                <w:sz w:val="22"/>
                <w:szCs w:val="22"/>
                <w:u w:val="none"/>
              </w:rPr>
            </w:pPr>
          </w:p>
        </w:tc>
        <w:tc>
          <w:tcPr>
            <w:tcW w:w="73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D158695">
            <w:pPr>
              <w:jc w:val="left"/>
              <w:rPr>
                <w:rFonts w:hint="eastAsia" w:ascii="仿宋" w:hAnsi="仿宋" w:eastAsia="仿宋" w:cs="仿宋"/>
                <w:i w:val="0"/>
                <w:iCs w:val="0"/>
                <w:color w:val="000000"/>
                <w:sz w:val="22"/>
                <w:szCs w:val="22"/>
                <w:u w:val="none"/>
              </w:rPr>
            </w:pPr>
          </w:p>
        </w:tc>
        <w:tc>
          <w:tcPr>
            <w:tcW w:w="150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616B826">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固定资产利用率</w:t>
            </w:r>
          </w:p>
        </w:tc>
        <w:tc>
          <w:tcPr>
            <w:tcW w:w="11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462B68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w:t>
            </w:r>
          </w:p>
        </w:tc>
        <w:tc>
          <w:tcPr>
            <w:tcW w:w="26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A45811">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部门（单位）固定资产利用是否充分，用以反映和考核资产使用情况。</w:t>
            </w:r>
          </w:p>
        </w:tc>
        <w:tc>
          <w:tcPr>
            <w:tcW w:w="7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8CA07B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 </w:t>
            </w:r>
          </w:p>
        </w:tc>
        <w:tc>
          <w:tcPr>
            <w:tcW w:w="47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4C77D3">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固定资产利用率=（实际在用固定资产总额/所有固定资产总额）×100%。</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评分规则：得分=固定资产利用率×分值。</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BB1F19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100.00%</w:t>
            </w:r>
          </w:p>
        </w:tc>
        <w:tc>
          <w:tcPr>
            <w:tcW w:w="10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465EA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1.00 </w:t>
            </w:r>
          </w:p>
        </w:tc>
      </w:tr>
      <w:tr w14:paraId="7416F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5" w:hRule="atLeast"/>
        </w:trPr>
        <w:tc>
          <w:tcPr>
            <w:tcW w:w="70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F3606C9">
            <w:pPr>
              <w:jc w:val="center"/>
              <w:rPr>
                <w:rFonts w:hint="eastAsia" w:ascii="仿宋" w:hAnsi="仿宋" w:eastAsia="仿宋" w:cs="仿宋"/>
                <w:i w:val="0"/>
                <w:iCs w:val="0"/>
                <w:color w:val="000000"/>
                <w:sz w:val="22"/>
                <w:szCs w:val="22"/>
                <w:u w:val="none"/>
              </w:rPr>
            </w:pPr>
          </w:p>
        </w:tc>
        <w:tc>
          <w:tcPr>
            <w:tcW w:w="73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6103289">
            <w:pPr>
              <w:jc w:val="left"/>
              <w:rPr>
                <w:rFonts w:hint="eastAsia" w:ascii="仿宋" w:hAnsi="仿宋" w:eastAsia="仿宋" w:cs="仿宋"/>
                <w:i w:val="0"/>
                <w:iCs w:val="0"/>
                <w:color w:val="000000"/>
                <w:sz w:val="22"/>
                <w:szCs w:val="22"/>
                <w:u w:val="none"/>
              </w:rPr>
            </w:pPr>
          </w:p>
        </w:tc>
        <w:tc>
          <w:tcPr>
            <w:tcW w:w="150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EA9565C">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资产管理制度健全性</w:t>
            </w:r>
          </w:p>
        </w:tc>
        <w:tc>
          <w:tcPr>
            <w:tcW w:w="11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7A0131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健全</w:t>
            </w:r>
          </w:p>
        </w:tc>
        <w:tc>
          <w:tcPr>
            <w:tcW w:w="26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9D9D8F">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部门（单位）为加强资产管理、规范资产管理行为而制定的管理制度是否健全完整，用以反映和考核部门（单位）资产管理制度对完成主要职责或促进社会发展的保障情况。</w:t>
            </w:r>
          </w:p>
        </w:tc>
        <w:tc>
          <w:tcPr>
            <w:tcW w:w="7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9304D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 </w:t>
            </w:r>
          </w:p>
        </w:tc>
        <w:tc>
          <w:tcPr>
            <w:tcW w:w="47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95DE0A">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1.是否已制定或具有资产管理制度；</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2.相关资产管理制度是否合法、合规、完整；</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3.相关资产管理制度是否得到有效执行。</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评分规则：以上评价要点各占1/3权重，每个要点执行情况分好、中、差三档，按100%-80%（含）、80%-60%（含）、60%-0%评分。</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47B0DF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健全</w:t>
            </w:r>
          </w:p>
        </w:tc>
        <w:tc>
          <w:tcPr>
            <w:tcW w:w="10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D1496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1.00 </w:t>
            </w:r>
          </w:p>
        </w:tc>
      </w:tr>
      <w:tr w14:paraId="236D8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5" w:hRule="atLeast"/>
        </w:trPr>
        <w:tc>
          <w:tcPr>
            <w:tcW w:w="70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F7540FC">
            <w:pPr>
              <w:jc w:val="center"/>
              <w:rPr>
                <w:rFonts w:hint="eastAsia" w:ascii="仿宋" w:hAnsi="仿宋" w:eastAsia="仿宋" w:cs="仿宋"/>
                <w:i w:val="0"/>
                <w:iCs w:val="0"/>
                <w:color w:val="000000"/>
                <w:sz w:val="22"/>
                <w:szCs w:val="22"/>
                <w:u w:val="none"/>
              </w:rPr>
            </w:pPr>
          </w:p>
        </w:tc>
        <w:tc>
          <w:tcPr>
            <w:tcW w:w="73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5E4EAA4">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项目管理</w:t>
            </w:r>
          </w:p>
        </w:tc>
        <w:tc>
          <w:tcPr>
            <w:tcW w:w="150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4AAE071">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项目管理制度执行规范性</w:t>
            </w:r>
          </w:p>
        </w:tc>
        <w:tc>
          <w:tcPr>
            <w:tcW w:w="11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6FE5FE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规范</w:t>
            </w:r>
          </w:p>
        </w:tc>
        <w:tc>
          <w:tcPr>
            <w:tcW w:w="26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2CD5045">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部门（单位）资产管理是否规范，用以反映和考核资产是否保存完整、使用合规、安全运行情况。</w:t>
            </w:r>
          </w:p>
        </w:tc>
        <w:tc>
          <w:tcPr>
            <w:tcW w:w="7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3F659D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 </w:t>
            </w:r>
          </w:p>
        </w:tc>
        <w:tc>
          <w:tcPr>
            <w:tcW w:w="47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4804195">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1.项目管理工作机制是否健全，沟通协调是否顺畅；</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2.项目是否按照要求规范严格地执行所有的制度内容，包括可行性论证、概算、预算、施工设计、资金拨付、组织申报、政府采购、招投标、监理、中期检查、竣工验收、公开公示等；</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3.是否按要求开展监督检查和绩效评价。</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评分规则：以上评价要点各占1/3权重，每个要点执行情况分好、中、差三档，按100%-80%（含）、80%-60%（含）、60%-0%评分。</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0AF552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规范</w:t>
            </w:r>
          </w:p>
        </w:tc>
        <w:tc>
          <w:tcPr>
            <w:tcW w:w="10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0C40F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1.00 </w:t>
            </w:r>
          </w:p>
        </w:tc>
      </w:tr>
      <w:tr w14:paraId="50889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45" w:hRule="atLeast"/>
        </w:trPr>
        <w:tc>
          <w:tcPr>
            <w:tcW w:w="70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756E43D">
            <w:pPr>
              <w:jc w:val="center"/>
              <w:rPr>
                <w:rFonts w:hint="eastAsia" w:ascii="仿宋" w:hAnsi="仿宋" w:eastAsia="仿宋" w:cs="仿宋"/>
                <w:i w:val="0"/>
                <w:iCs w:val="0"/>
                <w:color w:val="000000"/>
                <w:sz w:val="22"/>
                <w:szCs w:val="22"/>
                <w:u w:val="none"/>
              </w:rPr>
            </w:pPr>
          </w:p>
        </w:tc>
        <w:tc>
          <w:tcPr>
            <w:tcW w:w="73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4DC1EBD">
            <w:pPr>
              <w:jc w:val="left"/>
              <w:rPr>
                <w:rFonts w:hint="eastAsia" w:ascii="仿宋" w:hAnsi="仿宋" w:eastAsia="仿宋" w:cs="仿宋"/>
                <w:i w:val="0"/>
                <w:iCs w:val="0"/>
                <w:color w:val="000000"/>
                <w:sz w:val="22"/>
                <w:szCs w:val="22"/>
                <w:u w:val="none"/>
              </w:rPr>
            </w:pPr>
          </w:p>
        </w:tc>
        <w:tc>
          <w:tcPr>
            <w:tcW w:w="150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8DFA96E">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项目管理制度健全性</w:t>
            </w:r>
          </w:p>
        </w:tc>
        <w:tc>
          <w:tcPr>
            <w:tcW w:w="11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C39401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健全</w:t>
            </w:r>
          </w:p>
        </w:tc>
        <w:tc>
          <w:tcPr>
            <w:tcW w:w="26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2DE2FF9">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部门（单位）为加强项目管理，规范项目运行活动而制定的项目管理制度是否健全完整，项目管理制度用以反映对完成项目运作或促进社会发展的保障情况。</w:t>
            </w:r>
          </w:p>
        </w:tc>
        <w:tc>
          <w:tcPr>
            <w:tcW w:w="7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8EE1DC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 </w:t>
            </w:r>
          </w:p>
        </w:tc>
        <w:tc>
          <w:tcPr>
            <w:tcW w:w="47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6610F9A">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1.各项目是否制定项目管理制度；</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2.各项目管理制度是否合法、合规、内容完整，包括职责分工、项目申报、公示、实施内容、实施进度、实施标准、资金补助标准、资金拨付时间、监督检查、绩效评价、协调机制等。</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评分规则：以上评价要点各占1/2权重，每个要点执行情况分好、中、差三档，按100%-80%（含）、80%-60%（含）、60%-0%评分。</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82E160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健全</w:t>
            </w:r>
          </w:p>
        </w:tc>
        <w:tc>
          <w:tcPr>
            <w:tcW w:w="10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DEBDB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1.00 </w:t>
            </w:r>
          </w:p>
        </w:tc>
      </w:tr>
      <w:tr w14:paraId="51CD3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05" w:hRule="atLeast"/>
        </w:trPr>
        <w:tc>
          <w:tcPr>
            <w:tcW w:w="70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C775525">
            <w:pPr>
              <w:jc w:val="center"/>
              <w:rPr>
                <w:rFonts w:hint="eastAsia" w:ascii="仿宋" w:hAnsi="仿宋" w:eastAsia="仿宋" w:cs="仿宋"/>
                <w:i w:val="0"/>
                <w:iCs w:val="0"/>
                <w:color w:val="000000"/>
                <w:sz w:val="22"/>
                <w:szCs w:val="22"/>
                <w:u w:val="none"/>
              </w:rPr>
            </w:pPr>
          </w:p>
        </w:tc>
        <w:tc>
          <w:tcPr>
            <w:tcW w:w="73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5D5C852">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人员管理</w:t>
            </w:r>
          </w:p>
        </w:tc>
        <w:tc>
          <w:tcPr>
            <w:tcW w:w="150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2B8072">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人员管理制度执行有效性</w:t>
            </w:r>
          </w:p>
        </w:tc>
        <w:tc>
          <w:tcPr>
            <w:tcW w:w="11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2D071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有效</w:t>
            </w:r>
          </w:p>
        </w:tc>
        <w:tc>
          <w:tcPr>
            <w:tcW w:w="26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C6BAD9A">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部门（单位）为加强人事管理、规范人事管理行为而制定的管理制度是否执行有效，用以反映和考核部门（单位）人事管理制度对完成主要职责或促进社会发展的保障情况。</w:t>
            </w:r>
          </w:p>
        </w:tc>
        <w:tc>
          <w:tcPr>
            <w:tcW w:w="7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966ECE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 </w:t>
            </w:r>
          </w:p>
        </w:tc>
        <w:tc>
          <w:tcPr>
            <w:tcW w:w="47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4AC62F0">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相关人事管理制度有效执行，计满分，否则按实际执行情况得分。</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B6507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有效</w:t>
            </w:r>
          </w:p>
        </w:tc>
        <w:tc>
          <w:tcPr>
            <w:tcW w:w="10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BF519D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1.00 </w:t>
            </w:r>
          </w:p>
        </w:tc>
      </w:tr>
      <w:tr w14:paraId="0D4ED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5" w:hRule="atLeast"/>
        </w:trPr>
        <w:tc>
          <w:tcPr>
            <w:tcW w:w="70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609E5DE">
            <w:pPr>
              <w:jc w:val="center"/>
              <w:rPr>
                <w:rFonts w:hint="eastAsia" w:ascii="仿宋" w:hAnsi="仿宋" w:eastAsia="仿宋" w:cs="仿宋"/>
                <w:i w:val="0"/>
                <w:iCs w:val="0"/>
                <w:color w:val="000000"/>
                <w:sz w:val="22"/>
                <w:szCs w:val="22"/>
                <w:u w:val="none"/>
              </w:rPr>
            </w:pPr>
          </w:p>
        </w:tc>
        <w:tc>
          <w:tcPr>
            <w:tcW w:w="73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82D20DB">
            <w:pPr>
              <w:jc w:val="left"/>
              <w:rPr>
                <w:rFonts w:hint="eastAsia" w:ascii="仿宋" w:hAnsi="仿宋" w:eastAsia="仿宋" w:cs="仿宋"/>
                <w:i w:val="0"/>
                <w:iCs w:val="0"/>
                <w:color w:val="000000"/>
                <w:sz w:val="22"/>
                <w:szCs w:val="22"/>
                <w:u w:val="none"/>
              </w:rPr>
            </w:pPr>
          </w:p>
        </w:tc>
        <w:tc>
          <w:tcPr>
            <w:tcW w:w="150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E9DE37F">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在职人员控制率</w:t>
            </w:r>
          </w:p>
        </w:tc>
        <w:tc>
          <w:tcPr>
            <w:tcW w:w="11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2B9F49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w:t>
            </w:r>
          </w:p>
        </w:tc>
        <w:tc>
          <w:tcPr>
            <w:tcW w:w="26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4BB9A9D">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部门（单位）为加强人事管理、按照上级规定控制在职人员数量，用以反映和考核部门（单位）人员成本的控制情况。</w:t>
            </w:r>
          </w:p>
        </w:tc>
        <w:tc>
          <w:tcPr>
            <w:tcW w:w="7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BB02EA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 </w:t>
            </w:r>
          </w:p>
        </w:tc>
        <w:tc>
          <w:tcPr>
            <w:tcW w:w="47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8167FA">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在职人员控制率=（在职人员数/编制数）×100%；①在职人员控制率=100%，得满分；②80%≤在职人员控制率＜100%得1/2权重分，③在80%以下不计分。</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B62A6C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80.00%</w:t>
            </w:r>
          </w:p>
        </w:tc>
        <w:tc>
          <w:tcPr>
            <w:tcW w:w="10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0E0D43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1.00 </w:t>
            </w:r>
          </w:p>
        </w:tc>
      </w:tr>
      <w:tr w14:paraId="56F69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5" w:hRule="atLeast"/>
        </w:trPr>
        <w:tc>
          <w:tcPr>
            <w:tcW w:w="70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7A9F035">
            <w:pPr>
              <w:jc w:val="center"/>
              <w:rPr>
                <w:rFonts w:hint="eastAsia" w:ascii="仿宋" w:hAnsi="仿宋" w:eastAsia="仿宋" w:cs="仿宋"/>
                <w:i w:val="0"/>
                <w:iCs w:val="0"/>
                <w:color w:val="000000"/>
                <w:sz w:val="22"/>
                <w:szCs w:val="22"/>
                <w:u w:val="none"/>
              </w:rPr>
            </w:pPr>
          </w:p>
        </w:tc>
        <w:tc>
          <w:tcPr>
            <w:tcW w:w="73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C28B0A9">
            <w:pPr>
              <w:jc w:val="left"/>
              <w:rPr>
                <w:rFonts w:hint="eastAsia" w:ascii="仿宋" w:hAnsi="仿宋" w:eastAsia="仿宋" w:cs="仿宋"/>
                <w:i w:val="0"/>
                <w:iCs w:val="0"/>
                <w:color w:val="000000"/>
                <w:sz w:val="22"/>
                <w:szCs w:val="22"/>
                <w:u w:val="none"/>
              </w:rPr>
            </w:pPr>
          </w:p>
        </w:tc>
        <w:tc>
          <w:tcPr>
            <w:tcW w:w="150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37253D9">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人员管理制度健全性</w:t>
            </w:r>
          </w:p>
        </w:tc>
        <w:tc>
          <w:tcPr>
            <w:tcW w:w="11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6E2399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健全</w:t>
            </w:r>
          </w:p>
        </w:tc>
        <w:tc>
          <w:tcPr>
            <w:tcW w:w="26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9F89BA4">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部门（单位）为加强人事管理、规范人事管理行为而制定的管理制度是否健全完整，用以反映和考核部门（单位）人事管理制度对完成主要职责或促进社会发展的保障情况。</w:t>
            </w:r>
          </w:p>
        </w:tc>
        <w:tc>
          <w:tcPr>
            <w:tcW w:w="7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C1B8BE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 </w:t>
            </w:r>
          </w:p>
        </w:tc>
        <w:tc>
          <w:tcPr>
            <w:tcW w:w="47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D490CD">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①制定或具有人事管理制度，计1/4权重分；②相关人事管理制度合法、合规、完整，计1/4权重分；③相关人事管理制度有效执行，计1/2权重分。</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CE4F8C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健全</w:t>
            </w:r>
          </w:p>
        </w:tc>
        <w:tc>
          <w:tcPr>
            <w:tcW w:w="10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E2D08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1.00 </w:t>
            </w:r>
          </w:p>
        </w:tc>
      </w:tr>
      <w:tr w14:paraId="76239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5" w:hRule="atLeast"/>
        </w:trPr>
        <w:tc>
          <w:tcPr>
            <w:tcW w:w="70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6BBC300">
            <w:pPr>
              <w:jc w:val="center"/>
              <w:rPr>
                <w:rFonts w:hint="eastAsia" w:ascii="仿宋" w:hAnsi="仿宋" w:eastAsia="仿宋" w:cs="仿宋"/>
                <w:i w:val="0"/>
                <w:iCs w:val="0"/>
                <w:color w:val="000000"/>
                <w:sz w:val="22"/>
                <w:szCs w:val="22"/>
                <w:u w:val="none"/>
              </w:rPr>
            </w:pPr>
          </w:p>
        </w:tc>
        <w:tc>
          <w:tcPr>
            <w:tcW w:w="73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A231B62">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机构建设</w:t>
            </w:r>
          </w:p>
        </w:tc>
        <w:tc>
          <w:tcPr>
            <w:tcW w:w="150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C39548D">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业务学习与培训及时完成率</w:t>
            </w:r>
          </w:p>
        </w:tc>
        <w:tc>
          <w:tcPr>
            <w:tcW w:w="11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D0BC9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w:t>
            </w:r>
          </w:p>
        </w:tc>
        <w:tc>
          <w:tcPr>
            <w:tcW w:w="26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A9547D4">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部门（单位）为加强人员业务能力开展的业务学习与培训是否完成，用以反映和考核部门（单位）业务学习与培训及时完成情况。</w:t>
            </w:r>
          </w:p>
        </w:tc>
        <w:tc>
          <w:tcPr>
            <w:tcW w:w="7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C08EF5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 </w:t>
            </w:r>
          </w:p>
        </w:tc>
        <w:tc>
          <w:tcPr>
            <w:tcW w:w="47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3C3046">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①完成率=100%，得满分；②80%≤完成率利用率＜100%，计1/2权重分，③小于80%计0分。</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4E34D0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100.00%</w:t>
            </w:r>
          </w:p>
        </w:tc>
        <w:tc>
          <w:tcPr>
            <w:tcW w:w="10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85AB00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1.00 </w:t>
            </w:r>
          </w:p>
        </w:tc>
      </w:tr>
      <w:tr w14:paraId="702CD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5" w:hRule="atLeast"/>
        </w:trPr>
        <w:tc>
          <w:tcPr>
            <w:tcW w:w="70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513D0DA">
            <w:pPr>
              <w:jc w:val="center"/>
              <w:rPr>
                <w:rFonts w:hint="eastAsia" w:ascii="仿宋" w:hAnsi="仿宋" w:eastAsia="仿宋" w:cs="仿宋"/>
                <w:i w:val="0"/>
                <w:iCs w:val="0"/>
                <w:color w:val="000000"/>
                <w:sz w:val="22"/>
                <w:szCs w:val="22"/>
                <w:u w:val="none"/>
              </w:rPr>
            </w:pPr>
          </w:p>
        </w:tc>
        <w:tc>
          <w:tcPr>
            <w:tcW w:w="73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2FA1E55">
            <w:pPr>
              <w:jc w:val="left"/>
              <w:rPr>
                <w:rFonts w:hint="eastAsia" w:ascii="仿宋" w:hAnsi="仿宋" w:eastAsia="仿宋" w:cs="仿宋"/>
                <w:i w:val="0"/>
                <w:iCs w:val="0"/>
                <w:color w:val="000000"/>
                <w:sz w:val="22"/>
                <w:szCs w:val="22"/>
                <w:u w:val="none"/>
              </w:rPr>
            </w:pPr>
          </w:p>
        </w:tc>
        <w:tc>
          <w:tcPr>
            <w:tcW w:w="150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E988FEB">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纪检监察工作有效性</w:t>
            </w:r>
          </w:p>
        </w:tc>
        <w:tc>
          <w:tcPr>
            <w:tcW w:w="11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4B878D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有效</w:t>
            </w:r>
          </w:p>
        </w:tc>
        <w:tc>
          <w:tcPr>
            <w:tcW w:w="26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E1953E">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部门（单位）纪检监察工作是否有效开展，用以反映纪检监察工作的实施情况。</w:t>
            </w:r>
          </w:p>
        </w:tc>
        <w:tc>
          <w:tcPr>
            <w:tcW w:w="7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425BEE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 </w:t>
            </w:r>
          </w:p>
        </w:tc>
        <w:tc>
          <w:tcPr>
            <w:tcW w:w="47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656BF6">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①完成纪检监察工作，未发生重大违纪情况得满分；②发生重大违纪情况计0分。</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5CA2CF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有效</w:t>
            </w:r>
          </w:p>
        </w:tc>
        <w:tc>
          <w:tcPr>
            <w:tcW w:w="10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E556E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1.00 </w:t>
            </w:r>
          </w:p>
        </w:tc>
      </w:tr>
      <w:tr w14:paraId="6E589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5" w:hRule="atLeast"/>
        </w:trPr>
        <w:tc>
          <w:tcPr>
            <w:tcW w:w="70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A675349">
            <w:pPr>
              <w:jc w:val="center"/>
              <w:rPr>
                <w:rFonts w:hint="eastAsia" w:ascii="仿宋" w:hAnsi="仿宋" w:eastAsia="仿宋" w:cs="仿宋"/>
                <w:i w:val="0"/>
                <w:iCs w:val="0"/>
                <w:color w:val="000000"/>
                <w:sz w:val="22"/>
                <w:szCs w:val="22"/>
                <w:u w:val="none"/>
              </w:rPr>
            </w:pPr>
          </w:p>
        </w:tc>
        <w:tc>
          <w:tcPr>
            <w:tcW w:w="73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5889D05">
            <w:pPr>
              <w:jc w:val="left"/>
              <w:rPr>
                <w:rFonts w:hint="eastAsia" w:ascii="仿宋" w:hAnsi="仿宋" w:eastAsia="仿宋" w:cs="仿宋"/>
                <w:i w:val="0"/>
                <w:iCs w:val="0"/>
                <w:color w:val="000000"/>
                <w:sz w:val="22"/>
                <w:szCs w:val="22"/>
                <w:u w:val="none"/>
              </w:rPr>
            </w:pPr>
          </w:p>
        </w:tc>
        <w:tc>
          <w:tcPr>
            <w:tcW w:w="150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09B929">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组织建设工作及时完成率</w:t>
            </w:r>
          </w:p>
        </w:tc>
        <w:tc>
          <w:tcPr>
            <w:tcW w:w="11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D5778C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w:t>
            </w:r>
          </w:p>
        </w:tc>
        <w:tc>
          <w:tcPr>
            <w:tcW w:w="26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97AD11C">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部门（单位）组织建设工作是否即时完成，用以衡量组织建设工作完成情况。</w:t>
            </w:r>
          </w:p>
        </w:tc>
        <w:tc>
          <w:tcPr>
            <w:tcW w:w="7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F9919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 </w:t>
            </w:r>
          </w:p>
        </w:tc>
        <w:tc>
          <w:tcPr>
            <w:tcW w:w="47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694175A">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①完成率=100%，得满分；②80%≤完成率利用率＜100%，计1/2权重分，③小于80%计0分。</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F4BA3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100.00%</w:t>
            </w:r>
          </w:p>
        </w:tc>
        <w:tc>
          <w:tcPr>
            <w:tcW w:w="10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611C74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1.00 </w:t>
            </w:r>
          </w:p>
        </w:tc>
      </w:tr>
      <w:tr w14:paraId="438CC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70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E1D181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履职</w:t>
            </w:r>
          </w:p>
        </w:tc>
        <w:tc>
          <w:tcPr>
            <w:tcW w:w="73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18AF1A0">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数量指标</w:t>
            </w:r>
          </w:p>
        </w:tc>
        <w:tc>
          <w:tcPr>
            <w:tcW w:w="150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494CA96">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全年线上或线下组织、策划会奖旅游相关活动次数</w:t>
            </w:r>
          </w:p>
        </w:tc>
        <w:tc>
          <w:tcPr>
            <w:tcW w:w="11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3069B6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≥2次</w:t>
            </w:r>
          </w:p>
        </w:tc>
        <w:tc>
          <w:tcPr>
            <w:tcW w:w="26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B96FBAB">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反映全年线上或线下组织、策划会奖旅游相关活动次数。</w:t>
            </w:r>
          </w:p>
        </w:tc>
        <w:tc>
          <w:tcPr>
            <w:tcW w:w="7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D206AE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 </w:t>
            </w:r>
          </w:p>
        </w:tc>
        <w:tc>
          <w:tcPr>
            <w:tcW w:w="47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D7C8570">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完成目标数计8分，在目标数以下则按完成数与目标值的比值，乘以8分计分。</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F6D59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6次</w:t>
            </w:r>
          </w:p>
        </w:tc>
        <w:tc>
          <w:tcPr>
            <w:tcW w:w="10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AD8CA3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8.00 </w:t>
            </w:r>
          </w:p>
        </w:tc>
      </w:tr>
      <w:tr w14:paraId="0766A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70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497492A">
            <w:pPr>
              <w:jc w:val="center"/>
              <w:rPr>
                <w:rFonts w:hint="eastAsia" w:ascii="仿宋" w:hAnsi="仿宋" w:eastAsia="仿宋" w:cs="仿宋"/>
                <w:i w:val="0"/>
                <w:iCs w:val="0"/>
                <w:color w:val="000000"/>
                <w:sz w:val="22"/>
                <w:szCs w:val="22"/>
                <w:u w:val="none"/>
              </w:rPr>
            </w:pPr>
          </w:p>
        </w:tc>
        <w:tc>
          <w:tcPr>
            <w:tcW w:w="73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A6A377E">
            <w:pPr>
              <w:jc w:val="left"/>
              <w:rPr>
                <w:rFonts w:hint="eastAsia" w:ascii="仿宋" w:hAnsi="仿宋" w:eastAsia="仿宋" w:cs="仿宋"/>
                <w:i w:val="0"/>
                <w:iCs w:val="0"/>
                <w:color w:val="000000"/>
                <w:sz w:val="22"/>
                <w:szCs w:val="22"/>
                <w:u w:val="none"/>
              </w:rPr>
            </w:pPr>
          </w:p>
        </w:tc>
        <w:tc>
          <w:tcPr>
            <w:tcW w:w="150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CCD98A1">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全年线上或线下组织、策划南京亲子研学旅游推广活动次数</w:t>
            </w:r>
          </w:p>
        </w:tc>
        <w:tc>
          <w:tcPr>
            <w:tcW w:w="11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F38CF1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≥2次</w:t>
            </w:r>
          </w:p>
        </w:tc>
        <w:tc>
          <w:tcPr>
            <w:tcW w:w="26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A58D82B">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反映全年线上或线下组织、策划南京亲子研学旅游推广活动次数。</w:t>
            </w:r>
          </w:p>
        </w:tc>
        <w:tc>
          <w:tcPr>
            <w:tcW w:w="7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B48697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 </w:t>
            </w:r>
          </w:p>
        </w:tc>
        <w:tc>
          <w:tcPr>
            <w:tcW w:w="47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4B432C8">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完成目标数计8分，在目标数以下则按完成数与目标值的比值，乘以8分计分。</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F25835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3次</w:t>
            </w:r>
          </w:p>
        </w:tc>
        <w:tc>
          <w:tcPr>
            <w:tcW w:w="10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2F0A5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8.00 </w:t>
            </w:r>
          </w:p>
        </w:tc>
      </w:tr>
      <w:tr w14:paraId="4B3E5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70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0FB4627">
            <w:pPr>
              <w:jc w:val="center"/>
              <w:rPr>
                <w:rFonts w:hint="eastAsia" w:ascii="仿宋" w:hAnsi="仿宋" w:eastAsia="仿宋" w:cs="仿宋"/>
                <w:i w:val="0"/>
                <w:iCs w:val="0"/>
                <w:color w:val="000000"/>
                <w:sz w:val="22"/>
                <w:szCs w:val="22"/>
                <w:u w:val="none"/>
              </w:rPr>
            </w:pPr>
          </w:p>
        </w:tc>
        <w:tc>
          <w:tcPr>
            <w:tcW w:w="73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5CF48EF">
            <w:pPr>
              <w:jc w:val="left"/>
              <w:rPr>
                <w:rFonts w:hint="eastAsia" w:ascii="仿宋" w:hAnsi="仿宋" w:eastAsia="仿宋" w:cs="仿宋"/>
                <w:i w:val="0"/>
                <w:iCs w:val="0"/>
                <w:color w:val="000000"/>
                <w:sz w:val="22"/>
                <w:szCs w:val="22"/>
                <w:u w:val="none"/>
              </w:rPr>
            </w:pPr>
          </w:p>
        </w:tc>
        <w:tc>
          <w:tcPr>
            <w:tcW w:w="150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6BFA9EE">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专项旅游产品类别数量</w:t>
            </w:r>
          </w:p>
        </w:tc>
        <w:tc>
          <w:tcPr>
            <w:tcW w:w="11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42A660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≥2次</w:t>
            </w:r>
          </w:p>
        </w:tc>
        <w:tc>
          <w:tcPr>
            <w:tcW w:w="26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4DEE47E">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反映全年专项旅游产品类别数量。</w:t>
            </w:r>
          </w:p>
        </w:tc>
        <w:tc>
          <w:tcPr>
            <w:tcW w:w="7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BEB9A7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 </w:t>
            </w:r>
          </w:p>
        </w:tc>
        <w:tc>
          <w:tcPr>
            <w:tcW w:w="47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BDAE92">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完成目标数计8分，在目标数以下则按完成数与目标值的比值，乘以8分计分。</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32CCAD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3次</w:t>
            </w:r>
          </w:p>
        </w:tc>
        <w:tc>
          <w:tcPr>
            <w:tcW w:w="10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2D0A88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8.00 </w:t>
            </w:r>
          </w:p>
        </w:tc>
      </w:tr>
      <w:tr w14:paraId="4C777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70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99248DB">
            <w:pPr>
              <w:jc w:val="center"/>
              <w:rPr>
                <w:rFonts w:hint="eastAsia" w:ascii="仿宋" w:hAnsi="仿宋" w:eastAsia="仿宋" w:cs="仿宋"/>
                <w:i w:val="0"/>
                <w:iCs w:val="0"/>
                <w:color w:val="000000"/>
                <w:sz w:val="22"/>
                <w:szCs w:val="22"/>
                <w:u w:val="none"/>
              </w:rPr>
            </w:pPr>
          </w:p>
        </w:tc>
        <w:tc>
          <w:tcPr>
            <w:tcW w:w="73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B3D9A21">
            <w:pPr>
              <w:jc w:val="left"/>
              <w:rPr>
                <w:rFonts w:hint="eastAsia" w:ascii="仿宋" w:hAnsi="仿宋" w:eastAsia="仿宋" w:cs="仿宋"/>
                <w:i w:val="0"/>
                <w:iCs w:val="0"/>
                <w:color w:val="000000"/>
                <w:sz w:val="22"/>
                <w:szCs w:val="22"/>
                <w:u w:val="none"/>
              </w:rPr>
            </w:pPr>
          </w:p>
        </w:tc>
        <w:tc>
          <w:tcPr>
            <w:tcW w:w="150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DF82AD3">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南京文旅微信视频号发布视频数量</w:t>
            </w:r>
          </w:p>
        </w:tc>
        <w:tc>
          <w:tcPr>
            <w:tcW w:w="11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A2D2D1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≥2次</w:t>
            </w:r>
          </w:p>
        </w:tc>
        <w:tc>
          <w:tcPr>
            <w:tcW w:w="26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406BEA">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反映全年南京文旅微信视频号发布视频数量。</w:t>
            </w:r>
          </w:p>
        </w:tc>
        <w:tc>
          <w:tcPr>
            <w:tcW w:w="7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DF34C4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 </w:t>
            </w:r>
          </w:p>
        </w:tc>
        <w:tc>
          <w:tcPr>
            <w:tcW w:w="47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C4FCF1">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完成目标数计8分，在目标数以下则按完成数与目标值的比值，乘以8分计分。</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72910F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46次</w:t>
            </w:r>
          </w:p>
        </w:tc>
        <w:tc>
          <w:tcPr>
            <w:tcW w:w="10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D1A10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8.00 </w:t>
            </w:r>
          </w:p>
        </w:tc>
      </w:tr>
      <w:tr w14:paraId="6FCDD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70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63694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效益</w:t>
            </w:r>
          </w:p>
        </w:tc>
        <w:tc>
          <w:tcPr>
            <w:tcW w:w="7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8800E5">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社会效益</w:t>
            </w:r>
          </w:p>
        </w:tc>
        <w:tc>
          <w:tcPr>
            <w:tcW w:w="150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2743CB">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参会人员对活动的认可度</w:t>
            </w:r>
          </w:p>
        </w:tc>
        <w:tc>
          <w:tcPr>
            <w:tcW w:w="11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FD9A42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认可</w:t>
            </w:r>
          </w:p>
        </w:tc>
        <w:tc>
          <w:tcPr>
            <w:tcW w:w="26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0F4E364">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反映参会人员对活动的认可度。</w:t>
            </w:r>
          </w:p>
        </w:tc>
        <w:tc>
          <w:tcPr>
            <w:tcW w:w="7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3AC22B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10 </w:t>
            </w:r>
          </w:p>
        </w:tc>
        <w:tc>
          <w:tcPr>
            <w:tcW w:w="47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4417E6D">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参会人员对活动的认可度高，最大限度地利用有限的资源满足社会上人们日益增长的物质文化需求计10分，其余情况酌情计分。</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1CF18D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认可</w:t>
            </w:r>
          </w:p>
        </w:tc>
        <w:tc>
          <w:tcPr>
            <w:tcW w:w="10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FCE002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10.00 </w:t>
            </w:r>
          </w:p>
        </w:tc>
      </w:tr>
      <w:tr w14:paraId="26E63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5" w:hRule="atLeast"/>
        </w:trPr>
        <w:tc>
          <w:tcPr>
            <w:tcW w:w="70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025972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满意度</w:t>
            </w:r>
          </w:p>
        </w:tc>
        <w:tc>
          <w:tcPr>
            <w:tcW w:w="7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60B079">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服务对象满意度</w:t>
            </w:r>
          </w:p>
        </w:tc>
        <w:tc>
          <w:tcPr>
            <w:tcW w:w="150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041013">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服务对象满意度</w:t>
            </w:r>
          </w:p>
        </w:tc>
        <w:tc>
          <w:tcPr>
            <w:tcW w:w="11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15A7F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满意</w:t>
            </w:r>
          </w:p>
        </w:tc>
        <w:tc>
          <w:tcPr>
            <w:tcW w:w="26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5C6601">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以公众为核心、以公众感受为评价标准，反映公众对本单位工作的综合满意程度。</w:t>
            </w:r>
          </w:p>
        </w:tc>
        <w:tc>
          <w:tcPr>
            <w:tcW w:w="7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37E3F6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10 </w:t>
            </w:r>
          </w:p>
        </w:tc>
        <w:tc>
          <w:tcPr>
            <w:tcW w:w="47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003E3BD">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公众综合满意度高，计10分，其余情况酌情计分。</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8E4A32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基本满意</w:t>
            </w:r>
          </w:p>
        </w:tc>
        <w:tc>
          <w:tcPr>
            <w:tcW w:w="10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2E9AAA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8.00 </w:t>
            </w:r>
          </w:p>
        </w:tc>
      </w:tr>
      <w:tr w14:paraId="6EC8F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0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52BA67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合计</w:t>
            </w:r>
          </w:p>
        </w:tc>
        <w:tc>
          <w:tcPr>
            <w:tcW w:w="3386"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4EAE3B5E">
            <w:pPr>
              <w:jc w:val="center"/>
              <w:rPr>
                <w:rFonts w:hint="eastAsia" w:ascii="仿宋" w:hAnsi="仿宋" w:eastAsia="仿宋" w:cs="仿宋"/>
                <w:i w:val="0"/>
                <w:iCs w:val="0"/>
                <w:color w:val="000000"/>
                <w:sz w:val="22"/>
                <w:szCs w:val="22"/>
                <w:u w:val="none"/>
              </w:rPr>
            </w:pPr>
          </w:p>
        </w:tc>
        <w:tc>
          <w:tcPr>
            <w:tcW w:w="26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90927C">
            <w:pPr>
              <w:jc w:val="left"/>
              <w:rPr>
                <w:rFonts w:hint="eastAsia" w:ascii="仿宋" w:hAnsi="仿宋" w:eastAsia="仿宋" w:cs="仿宋"/>
                <w:i w:val="0"/>
                <w:iCs w:val="0"/>
                <w:color w:val="000000"/>
                <w:sz w:val="22"/>
                <w:szCs w:val="22"/>
                <w:u w:val="none"/>
              </w:rPr>
            </w:pPr>
          </w:p>
        </w:tc>
        <w:tc>
          <w:tcPr>
            <w:tcW w:w="7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3CC5F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100 </w:t>
            </w:r>
          </w:p>
        </w:tc>
        <w:tc>
          <w:tcPr>
            <w:tcW w:w="5755"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3A54EE69">
            <w:pPr>
              <w:jc w:val="left"/>
              <w:rPr>
                <w:rFonts w:hint="eastAsia" w:ascii="仿宋" w:hAnsi="仿宋" w:eastAsia="仿宋" w:cs="仿宋"/>
                <w:i w:val="0"/>
                <w:iCs w:val="0"/>
                <w:color w:val="000000"/>
                <w:sz w:val="22"/>
                <w:szCs w:val="22"/>
                <w:u w:val="none"/>
              </w:rPr>
            </w:pPr>
          </w:p>
        </w:tc>
        <w:tc>
          <w:tcPr>
            <w:tcW w:w="10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B31182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93.35 </w:t>
            </w:r>
          </w:p>
        </w:tc>
      </w:tr>
    </w:tbl>
    <w:p w14:paraId="196024BC">
      <w:pPr>
        <w:keepNext w:val="0"/>
        <w:keepLines w:val="0"/>
        <w:pageBreakBefore w:val="0"/>
        <w:widowControl w:val="0"/>
        <w:kinsoku/>
        <w:wordWrap/>
        <w:overflowPunct/>
        <w:topLinePunct w:val="0"/>
        <w:autoSpaceDE w:val="0"/>
        <w:autoSpaceDN w:val="0"/>
        <w:bidi w:val="0"/>
        <w:adjustRightInd/>
        <w:snapToGrid/>
        <w:spacing w:after="0" w:afterLines="100"/>
        <w:textAlignment w:val="auto"/>
        <w:rPr>
          <w:rFonts w:hint="eastAsia" w:ascii="仿宋" w:hAnsi="仿宋" w:eastAsia="仿宋" w:cs="仿宋"/>
          <w:lang w:eastAsia="zh-CN"/>
        </w:rPr>
      </w:pPr>
    </w:p>
    <w:sectPr>
      <w:footerReference r:id="rId7" w:type="default"/>
      <w:pgSz w:w="16840" w:h="11910" w:orient="landscape"/>
      <w:pgMar w:top="1100" w:right="1100" w:bottom="1380" w:left="1220" w:header="0" w:footer="1197" w:gutter="0"/>
      <w:pgBorders>
        <w:top w:val="none" w:sz="0" w:space="0"/>
        <w:left w:val="none" w:sz="0" w:space="0"/>
        <w:bottom w:val="none" w:sz="0" w:space="0"/>
        <w:right w:val="none" w:sz="0" w:space="0"/>
      </w:pgBorders>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B7F8C0">
    <w:pPr>
      <w:pStyle w:val="2"/>
      <w:spacing w:before="0" w:line="14" w:lineRule="auto"/>
      <w:ind w:left="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969BE">
    <w:pPr>
      <w:pStyle w:val="2"/>
      <w:spacing w:before="0" w:line="14" w:lineRule="auto"/>
      <w:ind w:left="0"/>
      <w:rPr>
        <w:sz w:val="20"/>
      </w:rPr>
    </w:pPr>
    <w:r>
      <mc:AlternateContent>
        <mc:Choice Requires="wps">
          <w:drawing>
            <wp:anchor distT="0" distB="0" distL="114300" distR="114300" simplePos="0" relativeHeight="251660288" behindDoc="1" locked="0" layoutInCell="1" allowOverlap="1">
              <wp:simplePos x="0" y="0"/>
              <wp:positionH relativeFrom="page">
                <wp:posOffset>3683000</wp:posOffset>
              </wp:positionH>
              <wp:positionV relativeFrom="page">
                <wp:posOffset>9791700</wp:posOffset>
              </wp:positionV>
              <wp:extent cx="205105"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205105" cy="139700"/>
                      </a:xfrm>
                      <a:prstGeom prst="rect">
                        <a:avLst/>
                      </a:prstGeom>
                      <a:noFill/>
                      <a:ln>
                        <a:noFill/>
                      </a:ln>
                    </wps:spPr>
                    <wps:txbx>
                      <w:txbxContent>
                        <w:p w14:paraId="119638DE">
                          <w:pPr>
                            <w:spacing w:before="0" w:line="203" w:lineRule="exact"/>
                            <w:ind w:left="60" w:right="0" w:firstLine="0"/>
                            <w:jc w:val="left"/>
                            <w:rPr>
                              <w:rFonts w:ascii="Calibri"/>
                              <w:sz w:val="18"/>
                            </w:rPr>
                          </w:pPr>
                          <w:r>
                            <w:fldChar w:fldCharType="begin"/>
                          </w:r>
                          <w:r>
                            <w:rPr>
                              <w:rFonts w:ascii="Calibri"/>
                              <w:sz w:val="18"/>
                            </w:rPr>
                            <w:instrText xml:space="preserve"> PAGE </w:instrText>
                          </w:r>
                          <w:r>
                            <w:fldChar w:fldCharType="separate"/>
                          </w:r>
                          <w:r>
                            <w:t>10</w:t>
                          </w:r>
                          <w:r>
                            <w:fldChar w:fldCharType="end"/>
                          </w:r>
                        </w:p>
                      </w:txbxContent>
                    </wps:txbx>
                    <wps:bodyPr lIns="0" tIns="0" rIns="0" bIns="0" upright="1"/>
                  </wps:wsp>
                </a:graphicData>
              </a:graphic>
            </wp:anchor>
          </w:drawing>
        </mc:Choice>
        <mc:Fallback>
          <w:pict>
            <v:shape id="_x0000_s1026" o:spid="_x0000_s1026" o:spt="202" type="#_x0000_t202" style="position:absolute;left:0pt;margin-left:290pt;margin-top:771pt;height:11pt;width:16.15pt;mso-position-horizontal-relative:page;mso-position-vertical-relative:page;z-index:-251656192;mso-width-relative:page;mso-height-relative:page;" filled="f" stroked="f" coordsize="21600,21600" o:gfxdata="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6dd8a9oAAAANAQAADwAAAAAAAAABACAAAAAiAAAAZHJzL2Rvd25yZXYueG1sUEsB&#10;AhQAFAAAAAgAh07iQKW+59u6AQAAcQMAAA4AAAAAAAAAAQAgAAAAKQEAAGRycy9lMm9Eb2MueG1s&#10;UEsFBgAAAAAGAAYAWQEAAFUFAAAAAA==&#10;">
              <v:fill on="f" focussize="0,0"/>
              <v:stroke on="f"/>
              <v:imagedata o:title=""/>
              <o:lock v:ext="edit" aspectratio="f"/>
              <v:textbox inset="0mm,0mm,0mm,0mm">
                <w:txbxContent>
                  <w:p w14:paraId="119638DE">
                    <w:pPr>
                      <w:spacing w:before="0" w:line="203" w:lineRule="exact"/>
                      <w:ind w:left="60" w:right="0" w:firstLine="0"/>
                      <w:jc w:val="left"/>
                      <w:rPr>
                        <w:rFonts w:ascii="Calibri"/>
                        <w:sz w:val="18"/>
                      </w:rPr>
                    </w:pPr>
                    <w:r>
                      <w:fldChar w:fldCharType="begin"/>
                    </w:r>
                    <w:r>
                      <w:rPr>
                        <w:rFonts w:ascii="Calibri"/>
                        <w:sz w:val="18"/>
                      </w:rPr>
                      <w:instrText xml:space="preserve"> PAGE </w:instrText>
                    </w:r>
                    <w:r>
                      <w:fldChar w:fldCharType="separate"/>
                    </w:r>
                    <w:r>
                      <w:t>10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5A4388">
    <w:pPr>
      <w:pStyle w:val="2"/>
      <w:spacing w:before="0" w:line="14" w:lineRule="auto"/>
      <w:ind w:left="0"/>
      <w:rPr>
        <w:sz w:val="20"/>
      </w:rPr>
    </w:pPr>
    <w:r>
      <w:pict>
        <v:shape id="docshape3" o:spid="_x0000_s4098" o:spt="202" type="#_x0000_t202" style="position:absolute;left:0pt;margin-left:413.35pt;margin-top:524.45pt;height:11pt;width:16.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2A269AAE">
                <w:pPr>
                  <w:spacing w:before="0" w:line="203" w:lineRule="exact"/>
                  <w:ind w:left="60" w:right="0" w:firstLine="0"/>
                  <w:jc w:val="left"/>
                  <w:rPr>
                    <w:rFonts w:ascii="Calibri"/>
                    <w:sz w:val="18"/>
                  </w:rPr>
                </w:pPr>
                <w:r>
                  <w:fldChar w:fldCharType="begin"/>
                </w:r>
                <w:r>
                  <w:rPr>
                    <w:rFonts w:ascii="Calibri"/>
                    <w:sz w:val="18"/>
                  </w:rPr>
                  <w:instrText xml:space="preserve"> PAGE </w:instrText>
                </w:r>
                <w:r>
                  <w:fldChar w:fldCharType="separate"/>
                </w:r>
                <w:r>
                  <w:t>15</w:t>
                </w:r>
                <w: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749246"/>
    <w:multiLevelType w:val="singleLevel"/>
    <w:tmpl w:val="9C749246"/>
    <w:lvl w:ilvl="0" w:tentative="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4"/>
  </w:compat>
  <w:docVars>
    <w:docVar w:name="commondata" w:val="eyJoZGlkIjoiZWYxMzI1NTY2Y2JjYmY1YmEzMGRiMWYyMGIwNDdhZjUifQ=="/>
  </w:docVars>
  <w:rsids>
    <w:rsidRoot w:val="00000000"/>
    <w:rsid w:val="03624403"/>
    <w:rsid w:val="041B45B7"/>
    <w:rsid w:val="058F22CF"/>
    <w:rsid w:val="09133A87"/>
    <w:rsid w:val="0DBB6CD3"/>
    <w:rsid w:val="138E2187"/>
    <w:rsid w:val="16C42C52"/>
    <w:rsid w:val="2D1E3BB2"/>
    <w:rsid w:val="2F743A66"/>
    <w:rsid w:val="321F281A"/>
    <w:rsid w:val="3B3C51A2"/>
    <w:rsid w:val="3F3FD59D"/>
    <w:rsid w:val="4366283E"/>
    <w:rsid w:val="4C372181"/>
    <w:rsid w:val="4F104F47"/>
    <w:rsid w:val="4FFF7768"/>
    <w:rsid w:val="5F76284A"/>
    <w:rsid w:val="61880654"/>
    <w:rsid w:val="62333363"/>
    <w:rsid w:val="63AA69BF"/>
    <w:rsid w:val="66E5794D"/>
    <w:rsid w:val="69176594"/>
    <w:rsid w:val="6DF7CB9F"/>
    <w:rsid w:val="756842B4"/>
    <w:rsid w:val="75BF2621"/>
    <w:rsid w:val="7736658A"/>
    <w:rsid w:val="79D322E8"/>
    <w:rsid w:val="7A523441"/>
    <w:rsid w:val="7CFD81AF"/>
    <w:rsid w:val="7FBFCD22"/>
    <w:rsid w:val="7FFE1077"/>
    <w:rsid w:val="BDE7522F"/>
    <w:rsid w:val="DF4FEF1C"/>
    <w:rsid w:val="E4FBEAE7"/>
    <w:rsid w:val="E5ED87CA"/>
    <w:rsid w:val="F6EEDC74"/>
    <w:rsid w:val="F77F9F61"/>
    <w:rsid w:val="FEFBB614"/>
    <w:rsid w:val="FF3559DD"/>
    <w:rsid w:val="FFB94D96"/>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zh-CN" w:bidi="ar-SA"/>
    </w:rPr>
  </w:style>
  <w:style w:type="paragraph" w:styleId="3">
    <w:name w:val="heading 1"/>
    <w:basedOn w:val="1"/>
    <w:next w:val="1"/>
    <w:qFormat/>
    <w:uiPriority w:val="1"/>
    <w:pPr>
      <w:spacing w:before="2"/>
      <w:ind w:left="863"/>
      <w:outlineLvl w:val="1"/>
    </w:pPr>
    <w:rPr>
      <w:rFonts w:ascii="宋体" w:hAnsi="宋体" w:eastAsia="宋体" w:cs="宋体"/>
      <w:b/>
      <w:bCs/>
      <w:sz w:val="32"/>
      <w:szCs w:val="32"/>
      <w:lang w:val="en-US" w:eastAsia="zh-CN" w:bidi="ar-SA"/>
    </w:rPr>
  </w:style>
  <w:style w:type="character" w:default="1" w:styleId="10">
    <w:name w:val="Default Paragraph Font"/>
    <w:semiHidden/>
    <w:unhideWhenUsed/>
    <w:qFormat/>
    <w:uiPriority w:val="1"/>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1"/>
    <w:pPr>
      <w:spacing w:before="214"/>
      <w:ind w:left="220"/>
    </w:pPr>
    <w:rPr>
      <w:rFonts w:ascii="宋体" w:hAnsi="宋体" w:eastAsia="宋体" w:cs="宋体"/>
      <w:sz w:val="32"/>
      <w:szCs w:val="32"/>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link w:val="19"/>
    <w:qFormat/>
    <w:uiPriority w:val="1"/>
    <w:pPr>
      <w:spacing w:before="0" w:line="360" w:lineRule="auto"/>
      <w:ind w:left="0"/>
    </w:pPr>
    <w:rPr>
      <w:rFonts w:ascii="宋体" w:hAnsi="宋体" w:eastAsia="仿宋"/>
      <w:sz w:val="30"/>
      <w:szCs w:val="28"/>
    </w:rPr>
  </w:style>
  <w:style w:type="paragraph" w:styleId="7">
    <w:name w:val="toc 2"/>
    <w:basedOn w:val="1"/>
    <w:next w:val="1"/>
    <w:qFormat/>
    <w:uiPriority w:val="0"/>
    <w:pPr>
      <w:spacing w:line="360" w:lineRule="auto"/>
      <w:ind w:left="420" w:leftChars="200"/>
    </w:pPr>
    <w:rPr>
      <w:rFonts w:eastAsia="仿宋"/>
      <w:sz w:val="30"/>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table" w:customStyle="1" w:styleId="12">
    <w:name w:val="Table Normal"/>
    <w:semiHidden/>
    <w:unhideWhenUsed/>
    <w:qFormat/>
    <w:uiPriority w:val="2"/>
    <w:tblPr>
      <w:tblCellMar>
        <w:top w:w="0" w:type="dxa"/>
        <w:left w:w="0" w:type="dxa"/>
        <w:bottom w:w="0" w:type="dxa"/>
        <w:right w:w="0" w:type="dxa"/>
      </w:tblCellMar>
    </w:tblPr>
  </w:style>
  <w:style w:type="paragraph" w:styleId="13">
    <w:name w:val="List Paragraph"/>
    <w:basedOn w:val="1"/>
    <w:qFormat/>
    <w:uiPriority w:val="1"/>
    <w:pPr>
      <w:spacing w:before="214"/>
      <w:ind w:left="1102" w:hanging="243"/>
    </w:pPr>
    <w:rPr>
      <w:rFonts w:ascii="宋体" w:hAnsi="宋体" w:eastAsia="宋体" w:cs="宋体"/>
      <w:lang w:val="en-US" w:eastAsia="zh-CN" w:bidi="ar-SA"/>
    </w:rPr>
  </w:style>
  <w:style w:type="paragraph" w:customStyle="1" w:styleId="14">
    <w:name w:val="Table Paragraph"/>
    <w:basedOn w:val="1"/>
    <w:qFormat/>
    <w:uiPriority w:val="1"/>
    <w:rPr>
      <w:rFonts w:ascii="宋体" w:hAnsi="宋体" w:eastAsia="宋体" w:cs="宋体"/>
      <w:lang w:val="en-US" w:eastAsia="zh-CN" w:bidi="ar-SA"/>
    </w:rPr>
  </w:style>
  <w:style w:type="paragraph" w:customStyle="1" w:styleId="15">
    <w:name w:val="WPSOffice手动目录 2"/>
    <w:qFormat/>
    <w:uiPriority w:val="0"/>
    <w:pPr>
      <w:ind w:leftChars="200"/>
    </w:pPr>
    <w:rPr>
      <w:rFonts w:asciiTheme="minorHAnsi" w:hAnsiTheme="minorHAnsi" w:eastAsiaTheme="minorHAnsi" w:cstheme="minorBidi"/>
      <w:sz w:val="20"/>
      <w:szCs w:val="20"/>
    </w:rPr>
  </w:style>
  <w:style w:type="paragraph" w:customStyle="1" w:styleId="16">
    <w:name w:val="WPSOffice手动目录 3"/>
    <w:qFormat/>
    <w:uiPriority w:val="0"/>
    <w:pPr>
      <w:ind w:leftChars="400"/>
    </w:pPr>
    <w:rPr>
      <w:rFonts w:asciiTheme="minorHAnsi" w:hAnsiTheme="minorHAnsi" w:eastAsiaTheme="minorHAnsi" w:cstheme="minorBidi"/>
      <w:sz w:val="20"/>
      <w:szCs w:val="20"/>
    </w:rPr>
  </w:style>
  <w:style w:type="paragraph" w:customStyle="1" w:styleId="17">
    <w:name w:val="WPSOffice手动目录 1"/>
    <w:qFormat/>
    <w:uiPriority w:val="0"/>
    <w:pPr>
      <w:ind w:leftChars="0"/>
    </w:pPr>
    <w:rPr>
      <w:rFonts w:asciiTheme="minorHAnsi" w:hAnsiTheme="minorHAnsi" w:eastAsiaTheme="minorHAnsi" w:cstheme="minorBidi"/>
      <w:sz w:val="20"/>
      <w:szCs w:val="20"/>
    </w:rPr>
  </w:style>
  <w:style w:type="character" w:customStyle="1" w:styleId="18">
    <w:name w:val="font01"/>
    <w:basedOn w:val="10"/>
    <w:qFormat/>
    <w:uiPriority w:val="0"/>
    <w:rPr>
      <w:rFonts w:hint="eastAsia" w:ascii="仿宋" w:hAnsi="仿宋" w:eastAsia="仿宋" w:cs="仿宋"/>
      <w:color w:val="000000"/>
      <w:sz w:val="22"/>
      <w:szCs w:val="22"/>
      <w:u w:val="none"/>
    </w:rPr>
  </w:style>
  <w:style w:type="character" w:customStyle="1" w:styleId="19">
    <w:name w:val="目录 1 Char"/>
    <w:link w:val="6"/>
    <w:qFormat/>
    <w:uiPriority w:val="1"/>
    <w:rPr>
      <w:rFonts w:ascii="宋体" w:hAnsi="宋体" w:eastAsia="仿宋"/>
      <w:sz w:val="30"/>
      <w:szCs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409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27</Pages>
  <Words>1184</Words>
  <Characters>1218</Characters>
  <TotalTime>15</TotalTime>
  <ScaleCrop>false</ScaleCrop>
  <LinksUpToDate>false</LinksUpToDate>
  <CharactersWithSpaces>1289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2023-06-18T07:07:00Z</dcterms:created>
  <dc:creator>Administrator</dc:creator>
  <cp:lastModifiedBy>精灵</cp:lastModifiedBy>
  <dcterms:modified xsi:type="dcterms:W3CDTF">2026-07-31T03:05:40Z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2022-09-14T00:00:00Z</vt:filetime>
  </property>
  <property fmtid="{D5CDD505-2E9C-101B-9397-08002B2CF9AE}" pid="3" name="Creator">
    <vt:lpwstr>Acrobat PDFMaker 10.1 Word 版</vt:lpwstr>
  </property>
  <property fmtid="{D5CDD505-2E9C-101B-9397-08002B2CF9AE}" pid="4" name="LastSaved">
    <vt:filetime>2023-06-14T00:00:00Z</vt:filetime>
  </property>
  <property fmtid="{D5CDD505-2E9C-101B-9397-08002B2CF9AE}" pid="5" name="KSOProductBuildVer">
    <vt:lpwstr>2052-12.1.0.26895</vt:lpwstr>
  </property>
  <property fmtid="{D5CDD505-2E9C-101B-9397-08002B2CF9AE}" pid="6" name="ICV">
    <vt:lpwstr>AB79707920514F13A70887FEF830D4EA_12</vt:lpwstr>
  </property>
  <property fmtid="{D5CDD505-2E9C-101B-9397-08002B2CF9AE}" pid="7" name="KSOTemplateDocerSaveRecord">
    <vt:lpwstr>eyJoZGlkIjoiNDkxMzZiMGEwODJhZGZkNTI4NDIwODlkYTA3OWY1MmEiLCJ1c2VySWQiOiIzOTE3MTE2MTAifQ==</vt:lpwstr>
  </property>
</Properties>
</file>